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6BDA4" w14:textId="5126DC08" w:rsidR="00D72895" w:rsidRPr="00225BF8" w:rsidRDefault="00647BDD" w:rsidP="00647BDD">
      <w:pPr>
        <w:jc w:val="center"/>
        <w:rPr>
          <w:rFonts w:asciiTheme="majorHAnsi" w:hAnsiTheme="majorHAnsi"/>
          <w:b/>
          <w:sz w:val="28"/>
          <w:szCs w:val="28"/>
        </w:rPr>
      </w:pPr>
      <w:bookmarkStart w:id="0" w:name="_GoBack"/>
      <w:bookmarkEnd w:id="0"/>
      <w:r w:rsidRPr="00225BF8">
        <w:rPr>
          <w:rFonts w:asciiTheme="majorHAnsi" w:hAnsiTheme="majorHAnsi"/>
          <w:b/>
          <w:sz w:val="28"/>
          <w:szCs w:val="28"/>
        </w:rPr>
        <w:t>S</w:t>
      </w:r>
      <w:r w:rsidR="005D7624">
        <w:rPr>
          <w:rFonts w:asciiTheme="majorHAnsi" w:hAnsiTheme="majorHAnsi"/>
          <w:b/>
          <w:sz w:val="28"/>
          <w:szCs w:val="28"/>
        </w:rPr>
        <w:t xml:space="preserve">tandards </w:t>
      </w:r>
      <w:r w:rsidRPr="00225BF8">
        <w:rPr>
          <w:rFonts w:asciiTheme="majorHAnsi" w:hAnsiTheme="majorHAnsi"/>
          <w:b/>
          <w:sz w:val="28"/>
          <w:szCs w:val="28"/>
        </w:rPr>
        <w:t>I</w:t>
      </w:r>
      <w:r w:rsidR="005D7624">
        <w:rPr>
          <w:rFonts w:asciiTheme="majorHAnsi" w:hAnsiTheme="majorHAnsi"/>
          <w:b/>
          <w:sz w:val="28"/>
          <w:szCs w:val="28"/>
        </w:rPr>
        <w:t>ntegration Program Audit</w:t>
      </w:r>
    </w:p>
    <w:p w14:paraId="118D7B85" w14:textId="11DD9ED8" w:rsidR="00647BDD" w:rsidRPr="00647BDD" w:rsidRDefault="005D7624" w:rsidP="00647BDD">
      <w:pPr>
        <w:pStyle w:val="NoSpacing"/>
        <w:jc w:val="center"/>
        <w:rPr>
          <w:rFonts w:asciiTheme="majorHAnsi" w:hAnsiTheme="majorHAnsi"/>
        </w:rPr>
      </w:pPr>
      <w:r>
        <w:rPr>
          <w:rFonts w:asciiTheme="majorHAnsi" w:hAnsiTheme="majorHAnsi"/>
        </w:rPr>
        <w:t>Tools to Support Program Analysis and Refinement</w:t>
      </w:r>
    </w:p>
    <w:p w14:paraId="15E22EAE" w14:textId="1D8A3925" w:rsidR="005341A6" w:rsidRDefault="005341A6" w:rsidP="007806A8">
      <w:pPr>
        <w:pStyle w:val="NoSpacing"/>
        <w:rPr>
          <w:rFonts w:asciiTheme="majorHAnsi" w:hAnsiTheme="majorHAnsi"/>
        </w:rPr>
      </w:pPr>
    </w:p>
    <w:p w14:paraId="5ABEF2F1" w14:textId="08070664" w:rsidR="007806A8" w:rsidRPr="00410AE5" w:rsidRDefault="007806A8" w:rsidP="007806A8">
      <w:pPr>
        <w:pStyle w:val="NoSpacing"/>
        <w:rPr>
          <w:rFonts w:asciiTheme="majorHAnsi" w:hAnsiTheme="majorHAnsi"/>
          <w:sz w:val="22"/>
          <w:szCs w:val="22"/>
        </w:rPr>
      </w:pPr>
      <w:r w:rsidRPr="00410AE5">
        <w:rPr>
          <w:rFonts w:asciiTheme="majorHAnsi" w:hAnsiTheme="majorHAnsi"/>
          <w:sz w:val="22"/>
          <w:szCs w:val="22"/>
        </w:rPr>
        <w:t>During the 2015-2016 school year, NCTR developed tools and technical support to help residency programs examine their programs against the new yardstick of college and career ready standards for students.  We call this process the Standards Integration Program Audit (SIPA).  Participation in the NCTR SIPA provides programs with content-specific resources, protocols, and processes to support the calibr</w:t>
      </w:r>
      <w:r w:rsidR="00F16B7B" w:rsidRPr="00410AE5">
        <w:rPr>
          <w:rFonts w:asciiTheme="majorHAnsi" w:hAnsiTheme="majorHAnsi"/>
          <w:sz w:val="22"/>
          <w:szCs w:val="22"/>
        </w:rPr>
        <w:t>ation and in-depth delib</w:t>
      </w:r>
      <w:r w:rsidRPr="00410AE5">
        <w:rPr>
          <w:rFonts w:asciiTheme="majorHAnsi" w:hAnsiTheme="majorHAnsi"/>
          <w:sz w:val="22"/>
          <w:szCs w:val="22"/>
        </w:rPr>
        <w:t>eration about the content pedagogy novice teachers need to skillfully implement college and career ready standards in their classrooms when they become teacher of record. Below is a description of key tools and artifacts that were piloted in three programs to support the SIPA and refined based on feedback.</w:t>
      </w:r>
      <w:r w:rsidR="009E4145" w:rsidRPr="00410AE5">
        <w:rPr>
          <w:rFonts w:asciiTheme="majorHAnsi" w:hAnsiTheme="majorHAnsi"/>
          <w:sz w:val="22"/>
          <w:szCs w:val="22"/>
        </w:rPr>
        <w:t xml:space="preserve">  In selecting and designing tools to support this process, we looked for </w:t>
      </w:r>
      <w:r w:rsidR="00C85090" w:rsidRPr="00410AE5">
        <w:rPr>
          <w:rFonts w:asciiTheme="majorHAnsi" w:hAnsiTheme="majorHAnsi"/>
          <w:sz w:val="22"/>
          <w:szCs w:val="22"/>
        </w:rPr>
        <w:t>tools that did the following:</w:t>
      </w:r>
    </w:p>
    <w:p w14:paraId="763FC8CB" w14:textId="106E93E1" w:rsidR="00C85090" w:rsidRPr="00410AE5" w:rsidRDefault="00C85090" w:rsidP="00C85090">
      <w:pPr>
        <w:pStyle w:val="NoSpacing"/>
        <w:numPr>
          <w:ilvl w:val="0"/>
          <w:numId w:val="46"/>
        </w:numPr>
        <w:rPr>
          <w:rFonts w:asciiTheme="majorHAnsi" w:hAnsiTheme="majorHAnsi"/>
          <w:sz w:val="22"/>
          <w:szCs w:val="22"/>
        </w:rPr>
      </w:pPr>
      <w:r w:rsidRPr="00410AE5">
        <w:rPr>
          <w:rFonts w:asciiTheme="majorHAnsi" w:hAnsiTheme="majorHAnsi"/>
          <w:sz w:val="22"/>
          <w:szCs w:val="22"/>
        </w:rPr>
        <w:t xml:space="preserve">Illustrated connections between teaching practices and student learning. </w:t>
      </w:r>
    </w:p>
    <w:p w14:paraId="12B472FD" w14:textId="726C6B0B" w:rsidR="00647BDD" w:rsidRPr="00410AE5" w:rsidRDefault="00C85090" w:rsidP="00647BDD">
      <w:pPr>
        <w:pStyle w:val="NoSpacing"/>
        <w:numPr>
          <w:ilvl w:val="0"/>
          <w:numId w:val="46"/>
        </w:numPr>
        <w:rPr>
          <w:rFonts w:asciiTheme="majorHAnsi" w:hAnsiTheme="majorHAnsi"/>
          <w:sz w:val="22"/>
          <w:szCs w:val="22"/>
        </w:rPr>
      </w:pPr>
      <w:r w:rsidRPr="00410AE5">
        <w:rPr>
          <w:rFonts w:asciiTheme="majorHAnsi" w:hAnsiTheme="majorHAnsi"/>
          <w:sz w:val="22"/>
          <w:szCs w:val="22"/>
        </w:rPr>
        <w:t>Focused on a learnable set of core teaching practices in program design.</w:t>
      </w:r>
    </w:p>
    <w:p w14:paraId="23A06C9D" w14:textId="77777777" w:rsidR="00647BDD" w:rsidRPr="00647BDD" w:rsidRDefault="00647BDD" w:rsidP="00647BDD">
      <w:pPr>
        <w:pStyle w:val="NoSpacing"/>
        <w:rPr>
          <w:rFonts w:asciiTheme="majorHAnsi" w:hAnsiTheme="majorHAnsi"/>
        </w:rPr>
      </w:pPr>
    </w:p>
    <w:tbl>
      <w:tblPr>
        <w:tblStyle w:val="TableGrid"/>
        <w:tblW w:w="9828" w:type="dxa"/>
        <w:tblLayout w:type="fixed"/>
        <w:tblLook w:val="04A0" w:firstRow="1" w:lastRow="0" w:firstColumn="1" w:lastColumn="0" w:noHBand="0" w:noVBand="1"/>
      </w:tblPr>
      <w:tblGrid>
        <w:gridCol w:w="2628"/>
        <w:gridCol w:w="3690"/>
        <w:gridCol w:w="3510"/>
      </w:tblGrid>
      <w:tr w:rsidR="00410AE5" w:rsidRPr="00410AE5" w14:paraId="5199D4F1" w14:textId="77777777" w:rsidTr="00410AE5">
        <w:trPr>
          <w:tblHeader/>
        </w:trPr>
        <w:tc>
          <w:tcPr>
            <w:tcW w:w="2628" w:type="dxa"/>
          </w:tcPr>
          <w:p w14:paraId="3667D9F6" w14:textId="283E6698" w:rsidR="00647BDD" w:rsidRPr="00410AE5" w:rsidRDefault="00410AE5" w:rsidP="00410AE5">
            <w:pPr>
              <w:pStyle w:val="NoSpacing"/>
              <w:jc w:val="center"/>
              <w:rPr>
                <w:rFonts w:asciiTheme="majorHAnsi" w:hAnsiTheme="majorHAnsi"/>
                <w:b/>
                <w:sz w:val="22"/>
                <w:szCs w:val="22"/>
              </w:rPr>
            </w:pPr>
            <w:r>
              <w:rPr>
                <w:rFonts w:asciiTheme="majorHAnsi" w:hAnsiTheme="majorHAnsi"/>
                <w:b/>
                <w:sz w:val="22"/>
                <w:szCs w:val="22"/>
              </w:rPr>
              <w:t>Activity</w:t>
            </w:r>
          </w:p>
        </w:tc>
        <w:tc>
          <w:tcPr>
            <w:tcW w:w="3690" w:type="dxa"/>
          </w:tcPr>
          <w:p w14:paraId="49218C95" w14:textId="216BC7E1" w:rsidR="00647BDD" w:rsidRPr="00410AE5" w:rsidRDefault="006C758C" w:rsidP="00410AE5">
            <w:pPr>
              <w:pStyle w:val="NoSpacing"/>
              <w:jc w:val="center"/>
              <w:rPr>
                <w:rFonts w:asciiTheme="majorHAnsi" w:hAnsiTheme="majorHAnsi"/>
                <w:b/>
                <w:sz w:val="22"/>
                <w:szCs w:val="22"/>
              </w:rPr>
            </w:pPr>
            <w:r w:rsidRPr="00410AE5">
              <w:rPr>
                <w:rFonts w:asciiTheme="majorHAnsi" w:hAnsiTheme="majorHAnsi"/>
                <w:b/>
                <w:sz w:val="22"/>
                <w:szCs w:val="22"/>
              </w:rPr>
              <w:t>Supporting Tools</w:t>
            </w:r>
          </w:p>
        </w:tc>
        <w:tc>
          <w:tcPr>
            <w:tcW w:w="3510" w:type="dxa"/>
          </w:tcPr>
          <w:p w14:paraId="271AFE48" w14:textId="5779E400" w:rsidR="00647BDD" w:rsidRPr="00410AE5" w:rsidRDefault="006C758C" w:rsidP="00410AE5">
            <w:pPr>
              <w:pStyle w:val="NoSpacing"/>
              <w:jc w:val="center"/>
              <w:rPr>
                <w:rFonts w:asciiTheme="majorHAnsi" w:hAnsiTheme="majorHAnsi"/>
                <w:b/>
                <w:sz w:val="22"/>
                <w:szCs w:val="22"/>
              </w:rPr>
            </w:pPr>
            <w:r w:rsidRPr="00410AE5">
              <w:rPr>
                <w:rFonts w:asciiTheme="majorHAnsi" w:hAnsiTheme="majorHAnsi"/>
                <w:b/>
                <w:sz w:val="22"/>
                <w:szCs w:val="22"/>
              </w:rPr>
              <w:t>Notes on Using these Tools</w:t>
            </w:r>
          </w:p>
        </w:tc>
      </w:tr>
      <w:tr w:rsidR="00410AE5" w:rsidRPr="00410AE5" w14:paraId="0CF58A32" w14:textId="77777777" w:rsidTr="00410AE5">
        <w:tc>
          <w:tcPr>
            <w:tcW w:w="2628" w:type="dxa"/>
          </w:tcPr>
          <w:p w14:paraId="158AF1A7" w14:textId="3ED7A8C4" w:rsidR="00647BDD" w:rsidRPr="00410AE5" w:rsidRDefault="00F16B7B" w:rsidP="00647BDD">
            <w:pPr>
              <w:pStyle w:val="NoSpacing"/>
              <w:rPr>
                <w:rFonts w:asciiTheme="majorHAnsi" w:hAnsiTheme="majorHAnsi"/>
                <w:sz w:val="22"/>
                <w:szCs w:val="22"/>
              </w:rPr>
            </w:pPr>
            <w:r w:rsidRPr="00410AE5">
              <w:rPr>
                <w:rFonts w:asciiTheme="majorHAnsi" w:hAnsiTheme="majorHAnsi"/>
                <w:sz w:val="22"/>
                <w:szCs w:val="22"/>
              </w:rPr>
              <w:t>Overview of the Standards Integration Program Audit Process</w:t>
            </w:r>
          </w:p>
        </w:tc>
        <w:tc>
          <w:tcPr>
            <w:tcW w:w="3690" w:type="dxa"/>
          </w:tcPr>
          <w:p w14:paraId="0E654DD1" w14:textId="2D3A8CC4" w:rsidR="00094C49" w:rsidRPr="00410AE5" w:rsidRDefault="00094C49" w:rsidP="00F16B7B">
            <w:pPr>
              <w:pStyle w:val="NoSpacing"/>
              <w:numPr>
                <w:ilvl w:val="0"/>
                <w:numId w:val="30"/>
              </w:numPr>
              <w:rPr>
                <w:rFonts w:asciiTheme="majorHAnsi" w:hAnsiTheme="majorHAnsi"/>
                <w:sz w:val="22"/>
                <w:szCs w:val="22"/>
              </w:rPr>
            </w:pPr>
            <w:r w:rsidRPr="00410AE5">
              <w:rPr>
                <w:rFonts w:asciiTheme="majorHAnsi" w:hAnsiTheme="majorHAnsi"/>
                <w:sz w:val="22"/>
                <w:szCs w:val="22"/>
              </w:rPr>
              <w:t xml:space="preserve">A </w:t>
            </w:r>
            <w:hyperlink r:id="rId9" w:history="1">
              <w:r w:rsidRPr="00A42176">
                <w:rPr>
                  <w:rStyle w:val="Hyperlink"/>
                  <w:rFonts w:asciiTheme="majorHAnsi" w:hAnsiTheme="majorHAnsi"/>
                  <w:sz w:val="22"/>
                  <w:szCs w:val="22"/>
                </w:rPr>
                <w:t>2-page Value Proposition</w:t>
              </w:r>
            </w:hyperlink>
            <w:r w:rsidRPr="00410AE5">
              <w:rPr>
                <w:rFonts w:asciiTheme="majorHAnsi" w:hAnsiTheme="majorHAnsi"/>
                <w:sz w:val="22"/>
                <w:szCs w:val="22"/>
              </w:rPr>
              <w:t xml:space="preserve"> that program directors can use to explain and promote the project to others in their organization and/or with faculty at partner universities</w:t>
            </w:r>
          </w:p>
        </w:tc>
        <w:tc>
          <w:tcPr>
            <w:tcW w:w="3510" w:type="dxa"/>
          </w:tcPr>
          <w:p w14:paraId="5F66FC9A" w14:textId="6F95E0C8" w:rsidR="00647BDD" w:rsidRPr="00410AE5" w:rsidRDefault="006C758C" w:rsidP="00A42176">
            <w:pPr>
              <w:pStyle w:val="NoSpacing"/>
              <w:rPr>
                <w:rFonts w:asciiTheme="majorHAnsi" w:hAnsiTheme="majorHAnsi"/>
                <w:sz w:val="22"/>
                <w:szCs w:val="22"/>
              </w:rPr>
            </w:pPr>
            <w:r w:rsidRPr="00410AE5">
              <w:rPr>
                <w:rFonts w:asciiTheme="majorHAnsi" w:hAnsiTheme="majorHAnsi"/>
                <w:sz w:val="22"/>
                <w:szCs w:val="22"/>
              </w:rPr>
              <w:t xml:space="preserve">The </w:t>
            </w:r>
            <w:r w:rsidR="00FC6598">
              <w:rPr>
                <w:rFonts w:asciiTheme="majorHAnsi" w:hAnsiTheme="majorHAnsi"/>
                <w:sz w:val="22"/>
                <w:szCs w:val="22"/>
              </w:rPr>
              <w:t>2 –page value proposition</w:t>
            </w:r>
            <w:r w:rsidRPr="00410AE5">
              <w:rPr>
                <w:rFonts w:asciiTheme="majorHAnsi" w:hAnsiTheme="majorHAnsi"/>
                <w:sz w:val="22"/>
                <w:szCs w:val="22"/>
              </w:rPr>
              <w:t xml:space="preserve"> provides an overview of specific activities that a program should engage in at each phase, resulting in program revision or refinement</w:t>
            </w:r>
            <w:r w:rsidR="00A42176">
              <w:rPr>
                <w:rFonts w:asciiTheme="majorHAnsi" w:hAnsiTheme="majorHAnsi"/>
                <w:sz w:val="22"/>
                <w:szCs w:val="22"/>
              </w:rPr>
              <w:t xml:space="preserve"> against college and career ready standards</w:t>
            </w:r>
            <w:r w:rsidRPr="00410AE5">
              <w:rPr>
                <w:rFonts w:asciiTheme="majorHAnsi" w:hAnsiTheme="majorHAnsi"/>
                <w:sz w:val="22"/>
                <w:szCs w:val="22"/>
              </w:rPr>
              <w:t>.</w:t>
            </w:r>
          </w:p>
        </w:tc>
      </w:tr>
      <w:tr w:rsidR="00410AE5" w:rsidRPr="00410AE5" w14:paraId="27400B2B" w14:textId="77777777" w:rsidTr="00410AE5">
        <w:tc>
          <w:tcPr>
            <w:tcW w:w="2628" w:type="dxa"/>
          </w:tcPr>
          <w:p w14:paraId="2A8BECBD" w14:textId="77777777" w:rsidR="00994088" w:rsidRPr="00410AE5" w:rsidRDefault="00994088" w:rsidP="00994088">
            <w:pPr>
              <w:pStyle w:val="NoSpacing"/>
              <w:rPr>
                <w:rFonts w:asciiTheme="majorHAnsi" w:hAnsiTheme="majorHAnsi"/>
                <w:sz w:val="22"/>
                <w:szCs w:val="22"/>
              </w:rPr>
            </w:pPr>
            <w:r w:rsidRPr="00410AE5">
              <w:rPr>
                <w:rFonts w:asciiTheme="majorHAnsi" w:hAnsiTheme="majorHAnsi"/>
                <w:sz w:val="22"/>
                <w:szCs w:val="22"/>
              </w:rPr>
              <w:t>Discussion of readings on Core Practices, HLPs, the TEDD cycle and accompanying discussion questions/preparation</w:t>
            </w:r>
          </w:p>
        </w:tc>
        <w:tc>
          <w:tcPr>
            <w:tcW w:w="3690" w:type="dxa"/>
          </w:tcPr>
          <w:p w14:paraId="12673DA7" w14:textId="77777777" w:rsidR="00F8173A" w:rsidRPr="00410AE5" w:rsidRDefault="00F8173A" w:rsidP="00F8173A">
            <w:pPr>
              <w:pStyle w:val="Normal1"/>
              <w:numPr>
                <w:ilvl w:val="0"/>
                <w:numId w:val="37"/>
              </w:numPr>
              <w:rPr>
                <w:rFonts w:asciiTheme="majorHAnsi" w:hAnsiTheme="majorHAnsi"/>
              </w:rPr>
            </w:pPr>
            <w:r w:rsidRPr="00410AE5">
              <w:rPr>
                <w:rFonts w:asciiTheme="majorHAnsi" w:eastAsia="Calibri" w:hAnsiTheme="majorHAnsi" w:cs="Calibri"/>
              </w:rPr>
              <w:t xml:space="preserve">Davis, E. &amp; </w:t>
            </w:r>
            <w:proofErr w:type="spellStart"/>
            <w:r w:rsidRPr="00410AE5">
              <w:rPr>
                <w:rFonts w:asciiTheme="majorHAnsi" w:eastAsia="Calibri" w:hAnsiTheme="majorHAnsi" w:cs="Calibri"/>
              </w:rPr>
              <w:t>Boerst</w:t>
            </w:r>
            <w:proofErr w:type="spellEnd"/>
            <w:r w:rsidRPr="00410AE5">
              <w:rPr>
                <w:rFonts w:asciiTheme="majorHAnsi" w:eastAsia="Calibri" w:hAnsiTheme="majorHAnsi" w:cs="Calibri"/>
              </w:rPr>
              <w:t xml:space="preserve">, </w:t>
            </w:r>
            <w:proofErr w:type="spellStart"/>
            <w:r w:rsidRPr="00410AE5">
              <w:rPr>
                <w:rFonts w:asciiTheme="majorHAnsi" w:eastAsia="Calibri" w:hAnsiTheme="majorHAnsi" w:cs="Calibri"/>
              </w:rPr>
              <w:t>T.,“Designing</w:t>
            </w:r>
            <w:proofErr w:type="spellEnd"/>
            <w:r w:rsidRPr="00410AE5">
              <w:rPr>
                <w:rFonts w:asciiTheme="majorHAnsi" w:eastAsia="Calibri" w:hAnsiTheme="majorHAnsi" w:cs="Calibri"/>
              </w:rPr>
              <w:t xml:space="preserve"> Elementary Teacher Education to Prepare Well-Started Beginners” (2014)</w:t>
            </w:r>
            <w:hyperlink r:id="rId10">
              <w:r w:rsidRPr="00410AE5">
                <w:rPr>
                  <w:rFonts w:asciiTheme="majorHAnsi" w:eastAsia="Calibri" w:hAnsiTheme="majorHAnsi" w:cs="Calibri"/>
                </w:rPr>
                <w:t xml:space="preserve"> </w:t>
              </w:r>
            </w:hyperlink>
            <w:hyperlink r:id="rId11">
              <w:r w:rsidRPr="00410AE5">
                <w:rPr>
                  <w:rFonts w:asciiTheme="majorHAnsi" w:eastAsia="Calibri" w:hAnsiTheme="majorHAnsi" w:cs="Calibri"/>
                  <w:color w:val="1155CC"/>
                  <w:u w:val="single"/>
                </w:rPr>
                <w:t>Working Paper</w:t>
              </w:r>
            </w:hyperlink>
            <w:r w:rsidRPr="00410AE5">
              <w:rPr>
                <w:rFonts w:asciiTheme="majorHAnsi" w:eastAsia="Calibri" w:hAnsiTheme="majorHAnsi" w:cs="Calibri"/>
              </w:rPr>
              <w:t xml:space="preserve">, </w:t>
            </w:r>
            <w:r w:rsidRPr="00410AE5">
              <w:rPr>
                <w:rFonts w:asciiTheme="majorHAnsi" w:eastAsia="Calibri" w:hAnsiTheme="majorHAnsi" w:cs="Calibri"/>
                <w:i/>
              </w:rPr>
              <w:t>Teaching Works</w:t>
            </w:r>
            <w:r w:rsidRPr="00410AE5">
              <w:rPr>
                <w:rFonts w:asciiTheme="majorHAnsi" w:eastAsia="Calibri" w:hAnsiTheme="majorHAnsi" w:cs="Calibri"/>
              </w:rPr>
              <w:t>.</w:t>
            </w:r>
          </w:p>
          <w:p w14:paraId="1DB4D92E" w14:textId="6F4A4197" w:rsidR="00F8173A" w:rsidRPr="00410AE5" w:rsidRDefault="00F8173A" w:rsidP="00F8173A">
            <w:pPr>
              <w:pStyle w:val="Normal1"/>
              <w:numPr>
                <w:ilvl w:val="0"/>
                <w:numId w:val="37"/>
              </w:numPr>
              <w:rPr>
                <w:rFonts w:asciiTheme="majorHAnsi" w:hAnsiTheme="majorHAnsi"/>
              </w:rPr>
            </w:pPr>
            <w:r w:rsidRPr="00410AE5">
              <w:rPr>
                <w:rFonts w:asciiTheme="majorHAnsi" w:eastAsia="Calibri" w:hAnsiTheme="majorHAnsi" w:cs="Calibri"/>
              </w:rPr>
              <w:t>McDonald, M., Kazemi, E. &amp; Kavanagh, S.S., “</w:t>
            </w:r>
            <w:hyperlink r:id="rId12" w:history="1">
              <w:r w:rsidRPr="00A42176">
                <w:rPr>
                  <w:rStyle w:val="Hyperlink"/>
                  <w:rFonts w:asciiTheme="majorHAnsi" w:eastAsia="Calibri" w:hAnsiTheme="majorHAnsi" w:cs="Calibri"/>
                </w:rPr>
                <w:t>Core Practices and Pedagogies of Teacher Education:</w:t>
              </w:r>
            </w:hyperlink>
            <w:r w:rsidRPr="00410AE5">
              <w:rPr>
                <w:rFonts w:asciiTheme="majorHAnsi" w:eastAsia="Calibri" w:hAnsiTheme="majorHAnsi" w:cs="Calibri"/>
              </w:rPr>
              <w:t xml:space="preserve"> A Call for a Common Language and Collective Activity</w:t>
            </w:r>
            <w:r w:rsidRPr="00410AE5">
              <w:rPr>
                <w:rFonts w:asciiTheme="majorHAnsi" w:eastAsia="Calibri" w:hAnsiTheme="majorHAnsi" w:cs="Calibri"/>
                <w:i/>
              </w:rPr>
              <w:t>,” Journal of Teacher Education</w:t>
            </w:r>
            <w:r w:rsidRPr="00410AE5">
              <w:rPr>
                <w:rFonts w:asciiTheme="majorHAnsi" w:eastAsia="Calibri" w:hAnsiTheme="majorHAnsi" w:cs="Calibri"/>
              </w:rPr>
              <w:t xml:space="preserve">, 64 (5), 378-386 (2013). </w:t>
            </w:r>
          </w:p>
          <w:p w14:paraId="3DFC8550" w14:textId="77777777" w:rsidR="00F8173A" w:rsidRPr="00410AE5" w:rsidRDefault="00F8173A" w:rsidP="00F8173A">
            <w:pPr>
              <w:pStyle w:val="Normal1"/>
              <w:numPr>
                <w:ilvl w:val="0"/>
                <w:numId w:val="37"/>
              </w:numPr>
              <w:rPr>
                <w:rFonts w:asciiTheme="majorHAnsi" w:hAnsiTheme="majorHAnsi"/>
              </w:rPr>
            </w:pPr>
            <w:r w:rsidRPr="00410AE5">
              <w:rPr>
                <w:rFonts w:asciiTheme="majorHAnsi" w:eastAsia="Calibri" w:hAnsiTheme="majorHAnsi" w:cs="Calibri"/>
              </w:rPr>
              <w:t>TeachingWorks</w:t>
            </w:r>
            <w:hyperlink r:id="rId13">
              <w:r w:rsidRPr="00410AE5">
                <w:rPr>
                  <w:rFonts w:asciiTheme="majorHAnsi" w:eastAsia="Calibri" w:hAnsiTheme="majorHAnsi" w:cs="Calibri"/>
                </w:rPr>
                <w:t xml:space="preserve"> </w:t>
              </w:r>
            </w:hyperlink>
            <w:hyperlink r:id="rId14">
              <w:r w:rsidRPr="00410AE5">
                <w:rPr>
                  <w:rFonts w:asciiTheme="majorHAnsi" w:eastAsia="Calibri" w:hAnsiTheme="majorHAnsi" w:cs="Calibri"/>
                  <w:color w:val="1155CC"/>
                  <w:u w:val="single"/>
                </w:rPr>
                <w:t>High Leverage Practices</w:t>
              </w:r>
            </w:hyperlink>
            <w:r w:rsidRPr="00410AE5">
              <w:rPr>
                <w:rFonts w:asciiTheme="majorHAnsi" w:eastAsia="Calibri" w:hAnsiTheme="majorHAnsi" w:cs="Calibri"/>
                <w:color w:val="1155CC"/>
                <w:u w:val="single"/>
              </w:rPr>
              <w:t>.</w:t>
            </w:r>
          </w:p>
          <w:p w14:paraId="07763557" w14:textId="4BABA1B3" w:rsidR="00994088" w:rsidRPr="00410AE5" w:rsidRDefault="00994088" w:rsidP="00F8173A">
            <w:pPr>
              <w:pStyle w:val="NoSpacing"/>
              <w:rPr>
                <w:rFonts w:asciiTheme="majorHAnsi" w:hAnsiTheme="majorHAnsi"/>
                <w:sz w:val="22"/>
                <w:szCs w:val="22"/>
              </w:rPr>
            </w:pPr>
          </w:p>
        </w:tc>
        <w:tc>
          <w:tcPr>
            <w:tcW w:w="3510" w:type="dxa"/>
          </w:tcPr>
          <w:p w14:paraId="72F7CB52" w14:textId="5FA6A7DA" w:rsidR="00994088" w:rsidRPr="00410AE5" w:rsidRDefault="00F8173A" w:rsidP="00F8173A">
            <w:pPr>
              <w:pStyle w:val="NoSpacing"/>
              <w:rPr>
                <w:rFonts w:asciiTheme="majorHAnsi" w:hAnsiTheme="majorHAnsi"/>
                <w:sz w:val="22"/>
                <w:szCs w:val="22"/>
              </w:rPr>
            </w:pPr>
            <w:r w:rsidRPr="00410AE5">
              <w:rPr>
                <w:rFonts w:asciiTheme="majorHAnsi" w:hAnsiTheme="majorHAnsi"/>
                <w:sz w:val="22"/>
                <w:szCs w:val="22"/>
              </w:rPr>
              <w:t>As a set, these three readings</w:t>
            </w:r>
            <w:r w:rsidR="00994088" w:rsidRPr="00410AE5">
              <w:rPr>
                <w:rFonts w:asciiTheme="majorHAnsi" w:hAnsiTheme="majorHAnsi"/>
                <w:sz w:val="22"/>
                <w:szCs w:val="22"/>
              </w:rPr>
              <w:t xml:space="preserve"> prompt participants to think about core practices for program improvement.  </w:t>
            </w:r>
            <w:r w:rsidRPr="00410AE5">
              <w:rPr>
                <w:rFonts w:asciiTheme="majorHAnsi" w:hAnsiTheme="majorHAnsi"/>
                <w:sz w:val="22"/>
                <w:szCs w:val="22"/>
              </w:rPr>
              <w:t>NCTR designed discussion questions to launch an exploration of how the program pillars and practices discussed in these readings compare with current residency program pillars and practices.  These readings serve as a springboard and a frame for exploring how core practices can anchor program coherence in clinically-oriented teacher preparation.</w:t>
            </w:r>
          </w:p>
        </w:tc>
      </w:tr>
    </w:tbl>
    <w:p w14:paraId="00D19690" w14:textId="77777777" w:rsidR="00410AE5" w:rsidRDefault="00410AE5">
      <w:r>
        <w:br w:type="page"/>
      </w:r>
    </w:p>
    <w:tbl>
      <w:tblPr>
        <w:tblStyle w:val="TableGrid"/>
        <w:tblW w:w="9828" w:type="dxa"/>
        <w:tblLayout w:type="fixed"/>
        <w:tblLook w:val="04A0" w:firstRow="1" w:lastRow="0" w:firstColumn="1" w:lastColumn="0" w:noHBand="0" w:noVBand="1"/>
      </w:tblPr>
      <w:tblGrid>
        <w:gridCol w:w="2628"/>
        <w:gridCol w:w="3690"/>
        <w:gridCol w:w="3510"/>
      </w:tblGrid>
      <w:tr w:rsidR="00410AE5" w:rsidRPr="00410AE5" w14:paraId="5D0FD341" w14:textId="77777777" w:rsidTr="00FC6598">
        <w:trPr>
          <w:tblHeader/>
        </w:trPr>
        <w:tc>
          <w:tcPr>
            <w:tcW w:w="2628" w:type="dxa"/>
          </w:tcPr>
          <w:p w14:paraId="0B45922F" w14:textId="77777777" w:rsidR="00410AE5" w:rsidRPr="00410AE5" w:rsidRDefault="00410AE5" w:rsidP="00FC6598">
            <w:pPr>
              <w:pStyle w:val="NoSpacing"/>
              <w:jc w:val="center"/>
              <w:rPr>
                <w:rFonts w:asciiTheme="majorHAnsi" w:hAnsiTheme="majorHAnsi"/>
                <w:b/>
                <w:sz w:val="22"/>
                <w:szCs w:val="22"/>
              </w:rPr>
            </w:pPr>
            <w:r>
              <w:rPr>
                <w:rFonts w:asciiTheme="majorHAnsi" w:hAnsiTheme="majorHAnsi"/>
                <w:b/>
                <w:sz w:val="22"/>
                <w:szCs w:val="22"/>
              </w:rPr>
              <w:lastRenderedPageBreak/>
              <w:t>Activity</w:t>
            </w:r>
          </w:p>
        </w:tc>
        <w:tc>
          <w:tcPr>
            <w:tcW w:w="3690" w:type="dxa"/>
          </w:tcPr>
          <w:p w14:paraId="0705CD93" w14:textId="77777777" w:rsidR="00410AE5" w:rsidRPr="00410AE5" w:rsidRDefault="00410AE5" w:rsidP="00FC6598">
            <w:pPr>
              <w:pStyle w:val="NoSpacing"/>
              <w:jc w:val="center"/>
              <w:rPr>
                <w:rFonts w:asciiTheme="majorHAnsi" w:hAnsiTheme="majorHAnsi"/>
                <w:b/>
                <w:sz w:val="22"/>
                <w:szCs w:val="22"/>
              </w:rPr>
            </w:pPr>
            <w:r w:rsidRPr="00410AE5">
              <w:rPr>
                <w:rFonts w:asciiTheme="majorHAnsi" w:hAnsiTheme="majorHAnsi"/>
                <w:b/>
                <w:sz w:val="22"/>
                <w:szCs w:val="22"/>
              </w:rPr>
              <w:t>Supporting Tools</w:t>
            </w:r>
          </w:p>
        </w:tc>
        <w:tc>
          <w:tcPr>
            <w:tcW w:w="3510" w:type="dxa"/>
          </w:tcPr>
          <w:p w14:paraId="04AC323C" w14:textId="77777777" w:rsidR="00410AE5" w:rsidRPr="00410AE5" w:rsidRDefault="00410AE5" w:rsidP="00FC6598">
            <w:pPr>
              <w:pStyle w:val="NoSpacing"/>
              <w:jc w:val="center"/>
              <w:rPr>
                <w:rFonts w:asciiTheme="majorHAnsi" w:hAnsiTheme="majorHAnsi"/>
                <w:b/>
                <w:sz w:val="22"/>
                <w:szCs w:val="22"/>
              </w:rPr>
            </w:pPr>
            <w:r w:rsidRPr="00410AE5">
              <w:rPr>
                <w:rFonts w:asciiTheme="majorHAnsi" w:hAnsiTheme="majorHAnsi"/>
                <w:b/>
                <w:sz w:val="22"/>
                <w:szCs w:val="22"/>
              </w:rPr>
              <w:t>Notes on Using these Tools</w:t>
            </w:r>
          </w:p>
        </w:tc>
      </w:tr>
      <w:tr w:rsidR="00410AE5" w:rsidRPr="00410AE5" w14:paraId="50D64CF2" w14:textId="77777777" w:rsidTr="00410AE5">
        <w:tc>
          <w:tcPr>
            <w:tcW w:w="2628" w:type="dxa"/>
          </w:tcPr>
          <w:p w14:paraId="053AD15E" w14:textId="7CF291D5" w:rsidR="00C85090" w:rsidRPr="00410AE5" w:rsidRDefault="00C85090" w:rsidP="00C85090">
            <w:pPr>
              <w:pStyle w:val="NoSpacing"/>
              <w:rPr>
                <w:rFonts w:asciiTheme="majorHAnsi" w:hAnsiTheme="majorHAnsi"/>
                <w:sz w:val="22"/>
                <w:szCs w:val="22"/>
              </w:rPr>
            </w:pPr>
            <w:r w:rsidRPr="00410AE5">
              <w:rPr>
                <w:rFonts w:asciiTheme="majorHAnsi" w:hAnsiTheme="majorHAnsi"/>
                <w:sz w:val="22"/>
                <w:szCs w:val="22"/>
              </w:rPr>
              <w:t>Crosswalk documents that align the High Leverage Practices (from TeachingWorks) with specific classroom-based learning outcomes described in the Core Actions (from Student Achievement Partners)</w:t>
            </w:r>
          </w:p>
        </w:tc>
        <w:tc>
          <w:tcPr>
            <w:tcW w:w="3690" w:type="dxa"/>
          </w:tcPr>
          <w:p w14:paraId="62360866" w14:textId="77777777" w:rsidR="00020875" w:rsidRDefault="004C5134" w:rsidP="00F8173A">
            <w:pPr>
              <w:pStyle w:val="NoSpacing"/>
              <w:numPr>
                <w:ilvl w:val="0"/>
                <w:numId w:val="30"/>
              </w:numPr>
              <w:rPr>
                <w:rFonts w:asciiTheme="majorHAnsi" w:hAnsiTheme="majorHAnsi"/>
                <w:sz w:val="22"/>
                <w:szCs w:val="22"/>
              </w:rPr>
            </w:pPr>
            <w:hyperlink r:id="rId15" w:history="1">
              <w:r w:rsidR="00020875" w:rsidRPr="00020875">
                <w:rPr>
                  <w:rStyle w:val="Hyperlink"/>
                  <w:rFonts w:asciiTheme="majorHAnsi" w:hAnsiTheme="majorHAnsi"/>
                  <w:sz w:val="22"/>
                  <w:szCs w:val="22"/>
                </w:rPr>
                <w:t>Math crosswalk</w:t>
              </w:r>
            </w:hyperlink>
          </w:p>
          <w:p w14:paraId="1A674DBA" w14:textId="77777777" w:rsidR="00020875" w:rsidRDefault="004C5134" w:rsidP="00F8173A">
            <w:pPr>
              <w:pStyle w:val="NoSpacing"/>
              <w:numPr>
                <w:ilvl w:val="0"/>
                <w:numId w:val="30"/>
              </w:numPr>
              <w:rPr>
                <w:rFonts w:asciiTheme="majorHAnsi" w:hAnsiTheme="majorHAnsi"/>
                <w:sz w:val="22"/>
                <w:szCs w:val="22"/>
              </w:rPr>
            </w:pPr>
            <w:hyperlink r:id="rId16" w:history="1">
              <w:r w:rsidR="00020875" w:rsidRPr="00020875">
                <w:rPr>
                  <w:rStyle w:val="Hyperlink"/>
                  <w:rFonts w:asciiTheme="majorHAnsi" w:hAnsiTheme="majorHAnsi"/>
                  <w:sz w:val="22"/>
                  <w:szCs w:val="22"/>
                </w:rPr>
                <w:t>ELA crosswalk</w:t>
              </w:r>
            </w:hyperlink>
            <w:r w:rsidR="00020875">
              <w:rPr>
                <w:rFonts w:asciiTheme="majorHAnsi" w:hAnsiTheme="majorHAnsi"/>
                <w:sz w:val="22"/>
                <w:szCs w:val="22"/>
              </w:rPr>
              <w:t xml:space="preserve"> </w:t>
            </w:r>
          </w:p>
          <w:p w14:paraId="3C7EC982" w14:textId="081D908C" w:rsidR="00C85090" w:rsidRPr="00410AE5" w:rsidRDefault="00C85090" w:rsidP="00F8173A">
            <w:pPr>
              <w:pStyle w:val="NoSpacing"/>
              <w:numPr>
                <w:ilvl w:val="0"/>
                <w:numId w:val="30"/>
              </w:numPr>
              <w:rPr>
                <w:rFonts w:asciiTheme="majorHAnsi" w:hAnsiTheme="majorHAnsi"/>
                <w:sz w:val="22"/>
                <w:szCs w:val="22"/>
              </w:rPr>
            </w:pPr>
            <w:r w:rsidRPr="00A42176">
              <w:rPr>
                <w:rFonts w:asciiTheme="majorHAnsi" w:hAnsiTheme="majorHAnsi"/>
                <w:sz w:val="22"/>
                <w:szCs w:val="22"/>
              </w:rPr>
              <w:t>Draft science crosswalk</w:t>
            </w:r>
            <w:r w:rsidR="00CF537C" w:rsidRPr="00410AE5">
              <w:rPr>
                <w:rFonts w:asciiTheme="majorHAnsi" w:hAnsiTheme="majorHAnsi"/>
                <w:sz w:val="22"/>
                <w:szCs w:val="22"/>
              </w:rPr>
              <w:t xml:space="preserve"> (</w:t>
            </w:r>
            <w:r w:rsidRPr="00410AE5">
              <w:rPr>
                <w:rFonts w:asciiTheme="majorHAnsi" w:hAnsiTheme="majorHAnsi"/>
                <w:sz w:val="22"/>
                <w:szCs w:val="22"/>
              </w:rPr>
              <w:t>not used with any</w:t>
            </w:r>
            <w:r w:rsidR="00CF537C" w:rsidRPr="00410AE5">
              <w:rPr>
                <w:rFonts w:asciiTheme="majorHAnsi" w:hAnsiTheme="majorHAnsi"/>
                <w:sz w:val="22"/>
                <w:szCs w:val="22"/>
              </w:rPr>
              <w:t xml:space="preserve"> of the pilot sites)</w:t>
            </w:r>
          </w:p>
        </w:tc>
        <w:tc>
          <w:tcPr>
            <w:tcW w:w="3510" w:type="dxa"/>
          </w:tcPr>
          <w:p w14:paraId="67054934" w14:textId="1FC1623B" w:rsidR="00C85090" w:rsidRPr="00410AE5" w:rsidRDefault="00C85090" w:rsidP="00F8173A">
            <w:pPr>
              <w:pStyle w:val="NoSpacing"/>
              <w:rPr>
                <w:rFonts w:asciiTheme="majorHAnsi" w:hAnsiTheme="majorHAnsi"/>
                <w:sz w:val="22"/>
                <w:szCs w:val="22"/>
              </w:rPr>
            </w:pPr>
            <w:r w:rsidRPr="00410AE5">
              <w:rPr>
                <w:rFonts w:asciiTheme="majorHAnsi" w:hAnsiTheme="majorHAnsi"/>
                <w:sz w:val="22"/>
                <w:szCs w:val="22"/>
              </w:rPr>
              <w:t>These documents help program staff and faculty understand how focusing on HLPs can support the student learning we hope to see in classrooms as a result.</w:t>
            </w:r>
            <w:r w:rsidR="005F740E" w:rsidRPr="00410AE5">
              <w:rPr>
                <w:rFonts w:asciiTheme="majorHAnsi" w:hAnsiTheme="majorHAnsi"/>
                <w:sz w:val="22"/>
                <w:szCs w:val="22"/>
              </w:rPr>
              <w:t xml:space="preserve">  The diagram on p. 2 of the math and ELA tools was particularly helpful in showing the relationship between HLPs and student-based learning outcomes (the Core Actions)</w:t>
            </w:r>
          </w:p>
        </w:tc>
      </w:tr>
      <w:tr w:rsidR="00410AE5" w:rsidRPr="00410AE5" w14:paraId="6416E44F" w14:textId="77777777" w:rsidTr="00410AE5">
        <w:tc>
          <w:tcPr>
            <w:tcW w:w="2628" w:type="dxa"/>
          </w:tcPr>
          <w:p w14:paraId="3D24162A" w14:textId="3D5B35D3" w:rsidR="00C85090" w:rsidRPr="00410AE5" w:rsidRDefault="00C85090" w:rsidP="00647BDD">
            <w:pPr>
              <w:pStyle w:val="NoSpacing"/>
              <w:rPr>
                <w:rFonts w:asciiTheme="majorHAnsi" w:hAnsiTheme="majorHAnsi"/>
                <w:sz w:val="22"/>
                <w:szCs w:val="22"/>
              </w:rPr>
            </w:pPr>
            <w:r w:rsidRPr="00410AE5">
              <w:rPr>
                <w:rFonts w:asciiTheme="majorHAnsi" w:hAnsiTheme="majorHAnsi"/>
                <w:sz w:val="22"/>
                <w:szCs w:val="22"/>
              </w:rPr>
              <w:t>Lesson-based Experience</w:t>
            </w:r>
            <w:r w:rsidR="00020875">
              <w:rPr>
                <w:rFonts w:asciiTheme="majorHAnsi" w:hAnsiTheme="majorHAnsi"/>
                <w:sz w:val="22"/>
                <w:szCs w:val="22"/>
              </w:rPr>
              <w:t xml:space="preserve"> </w:t>
            </w:r>
            <w:r w:rsidR="00410AE5">
              <w:rPr>
                <w:rFonts w:asciiTheme="majorHAnsi" w:hAnsiTheme="majorHAnsi"/>
                <w:sz w:val="22"/>
                <w:szCs w:val="22"/>
              </w:rPr>
              <w:t>Engaging in a math or ELA lesson as a learner, then stepping back to analyze the architecture of the lesson and alignment to standards</w:t>
            </w:r>
          </w:p>
        </w:tc>
        <w:tc>
          <w:tcPr>
            <w:tcW w:w="3690" w:type="dxa"/>
          </w:tcPr>
          <w:p w14:paraId="4E1017CF" w14:textId="4BCF8337" w:rsidR="00C85090" w:rsidRPr="00410AE5" w:rsidRDefault="00C85090" w:rsidP="00F8173A">
            <w:pPr>
              <w:pStyle w:val="NoSpacing"/>
              <w:numPr>
                <w:ilvl w:val="0"/>
                <w:numId w:val="30"/>
              </w:numPr>
              <w:rPr>
                <w:rFonts w:asciiTheme="majorHAnsi" w:hAnsiTheme="majorHAnsi"/>
                <w:sz w:val="22"/>
                <w:szCs w:val="22"/>
              </w:rPr>
            </w:pPr>
            <w:r w:rsidRPr="00410AE5">
              <w:rPr>
                <w:rFonts w:asciiTheme="majorHAnsi" w:hAnsiTheme="majorHAnsi"/>
                <w:sz w:val="22"/>
                <w:szCs w:val="22"/>
              </w:rPr>
              <w:t xml:space="preserve">In math, we used a </w:t>
            </w:r>
            <w:hyperlink r:id="rId17" w:history="1">
              <w:r w:rsidRPr="00020875">
                <w:rPr>
                  <w:rStyle w:val="Hyperlink"/>
                  <w:rFonts w:asciiTheme="majorHAnsi" w:hAnsiTheme="majorHAnsi"/>
                  <w:sz w:val="22"/>
                  <w:szCs w:val="22"/>
                </w:rPr>
                <w:t>lesson</w:t>
              </w:r>
            </w:hyperlink>
            <w:r w:rsidRPr="00410AE5">
              <w:rPr>
                <w:rFonts w:asciiTheme="majorHAnsi" w:hAnsiTheme="majorHAnsi"/>
                <w:sz w:val="22"/>
                <w:szCs w:val="22"/>
              </w:rPr>
              <w:t xml:space="preserve"> from the Mathematics Assessment Project on linear and exponential growth (secondary math)</w:t>
            </w:r>
          </w:p>
          <w:p w14:paraId="2C731B02" w14:textId="0578A681" w:rsidR="00C85090" w:rsidRPr="00410AE5" w:rsidRDefault="00C85090" w:rsidP="00F8173A">
            <w:pPr>
              <w:pStyle w:val="NoSpacing"/>
              <w:numPr>
                <w:ilvl w:val="0"/>
                <w:numId w:val="30"/>
              </w:numPr>
              <w:rPr>
                <w:sz w:val="22"/>
                <w:szCs w:val="22"/>
              </w:rPr>
            </w:pPr>
            <w:r w:rsidRPr="00410AE5">
              <w:rPr>
                <w:rFonts w:asciiTheme="majorHAnsi" w:hAnsiTheme="majorHAnsi"/>
                <w:sz w:val="22"/>
                <w:szCs w:val="22"/>
              </w:rPr>
              <w:t xml:space="preserve">In ELA, we used a </w:t>
            </w:r>
            <w:hyperlink r:id="rId18" w:history="1">
              <w:r w:rsidRPr="00020875">
                <w:rPr>
                  <w:rStyle w:val="Hyperlink"/>
                  <w:rFonts w:asciiTheme="majorHAnsi" w:hAnsiTheme="majorHAnsi"/>
                  <w:sz w:val="22"/>
                  <w:szCs w:val="22"/>
                </w:rPr>
                <w:t>lesson</w:t>
              </w:r>
            </w:hyperlink>
            <w:r w:rsidRPr="00410AE5">
              <w:rPr>
                <w:rFonts w:asciiTheme="majorHAnsi" w:hAnsiTheme="majorHAnsi"/>
                <w:sz w:val="22"/>
                <w:szCs w:val="22"/>
              </w:rPr>
              <w:t xml:space="preserve"> from the TEDD materials on Interactive Close Read</w:t>
            </w:r>
          </w:p>
        </w:tc>
        <w:tc>
          <w:tcPr>
            <w:tcW w:w="3510" w:type="dxa"/>
          </w:tcPr>
          <w:p w14:paraId="2B63ECC5" w14:textId="506324A5" w:rsidR="00C85090" w:rsidRPr="00410AE5" w:rsidRDefault="00C85090" w:rsidP="00F8173A">
            <w:pPr>
              <w:pStyle w:val="NoSpacing"/>
              <w:rPr>
                <w:rFonts w:asciiTheme="majorHAnsi" w:hAnsiTheme="majorHAnsi"/>
                <w:sz w:val="22"/>
                <w:szCs w:val="22"/>
              </w:rPr>
            </w:pPr>
            <w:r w:rsidRPr="00410AE5">
              <w:rPr>
                <w:rFonts w:asciiTheme="majorHAnsi" w:hAnsiTheme="majorHAnsi"/>
                <w:sz w:val="22"/>
                <w:szCs w:val="22"/>
              </w:rPr>
              <w:t>There are a limited but powerful set of sites containing CCSS math content that provide lessons and materials math teacher educators can use to anchor pre-service instruction. Here are 2 sites favored by math teacher educators both within and outside of the NCTR network:</w:t>
            </w:r>
          </w:p>
          <w:p w14:paraId="5261AC98" w14:textId="77777777" w:rsidR="00C85090" w:rsidRPr="00410AE5" w:rsidRDefault="004C5134" w:rsidP="009E4145">
            <w:pPr>
              <w:pStyle w:val="NoSpacing"/>
              <w:numPr>
                <w:ilvl w:val="0"/>
                <w:numId w:val="45"/>
              </w:numPr>
              <w:rPr>
                <w:rFonts w:asciiTheme="majorHAnsi" w:hAnsiTheme="majorHAnsi"/>
                <w:sz w:val="22"/>
                <w:szCs w:val="22"/>
              </w:rPr>
            </w:pPr>
            <w:hyperlink r:id="rId19" w:history="1">
              <w:r w:rsidR="00C85090" w:rsidRPr="00410AE5">
                <w:rPr>
                  <w:rStyle w:val="Hyperlink"/>
                  <w:rFonts w:asciiTheme="majorHAnsi" w:hAnsiTheme="majorHAnsi"/>
                  <w:sz w:val="22"/>
                  <w:szCs w:val="22"/>
                </w:rPr>
                <w:t>The Mathematics Assessment Project</w:t>
              </w:r>
            </w:hyperlink>
          </w:p>
          <w:p w14:paraId="66ED04E2" w14:textId="77777777" w:rsidR="00C85090" w:rsidRPr="00410AE5" w:rsidRDefault="004C5134" w:rsidP="009E4145">
            <w:pPr>
              <w:pStyle w:val="NoSpacing"/>
              <w:numPr>
                <w:ilvl w:val="0"/>
                <w:numId w:val="45"/>
              </w:numPr>
              <w:rPr>
                <w:rFonts w:asciiTheme="majorHAnsi" w:hAnsiTheme="majorHAnsi"/>
                <w:sz w:val="22"/>
                <w:szCs w:val="22"/>
              </w:rPr>
            </w:pPr>
            <w:hyperlink r:id="rId20" w:history="1">
              <w:r w:rsidR="00C85090" w:rsidRPr="00410AE5">
                <w:rPr>
                  <w:rStyle w:val="Hyperlink"/>
                  <w:rFonts w:asciiTheme="majorHAnsi" w:hAnsiTheme="majorHAnsi"/>
                  <w:sz w:val="22"/>
                  <w:szCs w:val="22"/>
                </w:rPr>
                <w:t>Inside Mathematics</w:t>
              </w:r>
            </w:hyperlink>
          </w:p>
          <w:p w14:paraId="3093DB34" w14:textId="77777777" w:rsidR="00C85090" w:rsidRPr="00410AE5" w:rsidRDefault="004C5134" w:rsidP="009E4145">
            <w:pPr>
              <w:pStyle w:val="NoSpacing"/>
              <w:numPr>
                <w:ilvl w:val="0"/>
                <w:numId w:val="45"/>
              </w:numPr>
              <w:rPr>
                <w:rFonts w:asciiTheme="majorHAnsi" w:hAnsiTheme="majorHAnsi"/>
                <w:sz w:val="22"/>
                <w:szCs w:val="22"/>
              </w:rPr>
            </w:pPr>
            <w:hyperlink r:id="rId21" w:history="1">
              <w:r w:rsidR="00C85090" w:rsidRPr="00410AE5">
                <w:rPr>
                  <w:rStyle w:val="Hyperlink"/>
                  <w:rFonts w:asciiTheme="majorHAnsi" w:hAnsiTheme="majorHAnsi"/>
                  <w:sz w:val="22"/>
                  <w:szCs w:val="22"/>
                </w:rPr>
                <w:t>Illustrative Mathematics</w:t>
              </w:r>
            </w:hyperlink>
          </w:p>
          <w:p w14:paraId="56DFD5B8" w14:textId="334D2EDC" w:rsidR="00C85090" w:rsidRPr="00410AE5" w:rsidRDefault="00C85090" w:rsidP="00F8173A">
            <w:pPr>
              <w:pStyle w:val="NoSpacing"/>
              <w:rPr>
                <w:rFonts w:asciiTheme="majorHAnsi" w:hAnsiTheme="majorHAnsi"/>
                <w:sz w:val="22"/>
                <w:szCs w:val="22"/>
              </w:rPr>
            </w:pPr>
            <w:r w:rsidRPr="00410AE5">
              <w:rPr>
                <w:rFonts w:asciiTheme="majorHAnsi" w:hAnsiTheme="majorHAnsi"/>
                <w:sz w:val="22"/>
                <w:szCs w:val="22"/>
              </w:rPr>
              <w:t>Lesson-based materials are much harder to come by in ELA due to the fact that ELA has had much less funding over the past few decades and the CCSS standards are relatively new.  This is an area of much-needed development in the field.</w:t>
            </w:r>
          </w:p>
        </w:tc>
      </w:tr>
      <w:tr w:rsidR="00410AE5" w:rsidRPr="00410AE5" w14:paraId="04460C8B" w14:textId="77777777" w:rsidTr="00410AE5">
        <w:tc>
          <w:tcPr>
            <w:tcW w:w="2628" w:type="dxa"/>
          </w:tcPr>
          <w:p w14:paraId="4AD1B501" w14:textId="343E108B" w:rsidR="00C85090" w:rsidRPr="00410AE5" w:rsidRDefault="002A518F" w:rsidP="002A518F">
            <w:pPr>
              <w:pStyle w:val="NoSpacing"/>
              <w:rPr>
                <w:rFonts w:asciiTheme="majorHAnsi" w:hAnsiTheme="majorHAnsi"/>
                <w:sz w:val="22"/>
                <w:szCs w:val="22"/>
              </w:rPr>
            </w:pPr>
            <w:r w:rsidRPr="00410AE5">
              <w:rPr>
                <w:rFonts w:asciiTheme="majorHAnsi" w:hAnsiTheme="majorHAnsi"/>
                <w:sz w:val="22"/>
                <w:szCs w:val="22"/>
              </w:rPr>
              <w:t>Viewing and discussing videos of exemplary standards-aligned teaching</w:t>
            </w:r>
          </w:p>
        </w:tc>
        <w:tc>
          <w:tcPr>
            <w:tcW w:w="3690" w:type="dxa"/>
          </w:tcPr>
          <w:p w14:paraId="6A19D1C2" w14:textId="370298C2" w:rsidR="00C85090" w:rsidRPr="00410AE5" w:rsidRDefault="00C85090" w:rsidP="00F16B7B">
            <w:pPr>
              <w:pStyle w:val="NoSpacing"/>
              <w:numPr>
                <w:ilvl w:val="0"/>
                <w:numId w:val="30"/>
              </w:numPr>
              <w:rPr>
                <w:sz w:val="22"/>
                <w:szCs w:val="22"/>
              </w:rPr>
            </w:pPr>
            <w:r w:rsidRPr="00410AE5">
              <w:rPr>
                <w:rFonts w:asciiTheme="majorHAnsi" w:hAnsiTheme="majorHAnsi"/>
                <w:sz w:val="22"/>
                <w:szCs w:val="22"/>
              </w:rPr>
              <w:t xml:space="preserve">For both math and ELA, we used video from the SAP video library, </w:t>
            </w:r>
            <w:hyperlink r:id="rId22" w:history="1">
              <w:r w:rsidRPr="00410AE5">
                <w:rPr>
                  <w:rStyle w:val="Hyperlink"/>
                  <w:rFonts w:asciiTheme="majorHAnsi" w:hAnsiTheme="majorHAnsi"/>
                  <w:sz w:val="22"/>
                  <w:szCs w:val="22"/>
                </w:rPr>
                <w:t>Teaching the Core</w:t>
              </w:r>
            </w:hyperlink>
          </w:p>
        </w:tc>
        <w:tc>
          <w:tcPr>
            <w:tcW w:w="3510" w:type="dxa"/>
          </w:tcPr>
          <w:p w14:paraId="7B90FCFA" w14:textId="3C001905" w:rsidR="00C85090" w:rsidRPr="00410AE5" w:rsidRDefault="00C85090" w:rsidP="002A518F">
            <w:pPr>
              <w:pStyle w:val="NoSpacing"/>
              <w:rPr>
                <w:rFonts w:asciiTheme="majorHAnsi" w:hAnsiTheme="majorHAnsi"/>
                <w:sz w:val="22"/>
                <w:szCs w:val="22"/>
              </w:rPr>
            </w:pPr>
            <w:r w:rsidRPr="00410AE5">
              <w:rPr>
                <w:rFonts w:asciiTheme="majorHAnsi" w:hAnsiTheme="majorHAnsi"/>
                <w:sz w:val="22"/>
                <w:szCs w:val="22"/>
              </w:rPr>
              <w:t xml:space="preserve">These videos are </w:t>
            </w:r>
            <w:r w:rsidR="002A518F" w:rsidRPr="00410AE5">
              <w:rPr>
                <w:rFonts w:asciiTheme="majorHAnsi" w:hAnsiTheme="majorHAnsi"/>
                <w:sz w:val="22"/>
                <w:szCs w:val="22"/>
              </w:rPr>
              <w:t>annotated</w:t>
            </w:r>
            <w:r w:rsidRPr="00410AE5">
              <w:rPr>
                <w:rFonts w:asciiTheme="majorHAnsi" w:hAnsiTheme="majorHAnsi"/>
                <w:sz w:val="22"/>
                <w:szCs w:val="22"/>
              </w:rPr>
              <w:t xml:space="preserve"> with the Core Actions</w:t>
            </w:r>
            <w:r w:rsidR="002A518F" w:rsidRPr="00410AE5">
              <w:rPr>
                <w:rFonts w:asciiTheme="majorHAnsi" w:hAnsiTheme="majorHAnsi"/>
                <w:sz w:val="22"/>
                <w:szCs w:val="22"/>
              </w:rPr>
              <w:t>, which allows the viewer to stop and discuss the relationship between teacher actions, or moves, and student learning at eac</w:t>
            </w:r>
            <w:r w:rsidR="00410AE5" w:rsidRPr="00410AE5">
              <w:rPr>
                <w:rFonts w:asciiTheme="majorHAnsi" w:hAnsiTheme="majorHAnsi"/>
                <w:sz w:val="22"/>
                <w:szCs w:val="22"/>
              </w:rPr>
              <w:t xml:space="preserve">h phase of the lesson.  </w:t>
            </w:r>
          </w:p>
        </w:tc>
      </w:tr>
      <w:tr w:rsidR="00410AE5" w:rsidRPr="00410AE5" w14:paraId="49C8FA8C" w14:textId="77777777" w:rsidTr="00410AE5">
        <w:tc>
          <w:tcPr>
            <w:tcW w:w="2628" w:type="dxa"/>
          </w:tcPr>
          <w:p w14:paraId="430EEF9C" w14:textId="677ECD92" w:rsidR="00CF537C" w:rsidRPr="00410AE5" w:rsidRDefault="00CF537C" w:rsidP="00445D84">
            <w:pPr>
              <w:pStyle w:val="NoSpacing"/>
              <w:rPr>
                <w:rFonts w:asciiTheme="majorHAnsi" w:hAnsiTheme="majorHAnsi"/>
                <w:sz w:val="22"/>
                <w:szCs w:val="22"/>
              </w:rPr>
            </w:pPr>
            <w:r w:rsidRPr="00410AE5">
              <w:rPr>
                <w:rFonts w:asciiTheme="majorHAnsi" w:hAnsiTheme="majorHAnsi"/>
                <w:sz w:val="22"/>
                <w:szCs w:val="22"/>
              </w:rPr>
              <w:t xml:space="preserve">Building out a </w:t>
            </w:r>
            <w:r w:rsidR="00020875">
              <w:rPr>
                <w:rFonts w:asciiTheme="majorHAnsi" w:hAnsiTheme="majorHAnsi"/>
                <w:sz w:val="22"/>
                <w:szCs w:val="22"/>
              </w:rPr>
              <w:t>L</w:t>
            </w:r>
            <w:r w:rsidR="00445D84">
              <w:rPr>
                <w:rFonts w:asciiTheme="majorHAnsi" w:hAnsiTheme="majorHAnsi"/>
                <w:sz w:val="22"/>
                <w:szCs w:val="22"/>
              </w:rPr>
              <w:t>earning</w:t>
            </w:r>
            <w:r w:rsidR="00020875">
              <w:rPr>
                <w:rFonts w:asciiTheme="majorHAnsi" w:hAnsiTheme="majorHAnsi"/>
                <w:sz w:val="22"/>
                <w:szCs w:val="22"/>
              </w:rPr>
              <w:t xml:space="preserve"> C</w:t>
            </w:r>
            <w:r w:rsidR="00445D84">
              <w:rPr>
                <w:rFonts w:asciiTheme="majorHAnsi" w:hAnsiTheme="majorHAnsi"/>
                <w:sz w:val="22"/>
                <w:szCs w:val="22"/>
              </w:rPr>
              <w:t>ycle</w:t>
            </w:r>
          </w:p>
        </w:tc>
        <w:tc>
          <w:tcPr>
            <w:tcW w:w="3690" w:type="dxa"/>
          </w:tcPr>
          <w:p w14:paraId="2F0AFC81" w14:textId="739CCBD1" w:rsidR="00CF537C" w:rsidRPr="00410AE5" w:rsidRDefault="00CF537C" w:rsidP="00020875">
            <w:pPr>
              <w:pStyle w:val="NoSpacing"/>
              <w:numPr>
                <w:ilvl w:val="0"/>
                <w:numId w:val="30"/>
              </w:numPr>
              <w:rPr>
                <w:rFonts w:asciiTheme="majorHAnsi" w:hAnsiTheme="majorHAnsi"/>
                <w:sz w:val="22"/>
                <w:szCs w:val="22"/>
              </w:rPr>
            </w:pPr>
            <w:r w:rsidRPr="00410AE5">
              <w:rPr>
                <w:rFonts w:asciiTheme="majorHAnsi" w:hAnsiTheme="majorHAnsi"/>
                <w:sz w:val="22"/>
                <w:szCs w:val="22"/>
              </w:rPr>
              <w:t xml:space="preserve">We designed a </w:t>
            </w:r>
            <w:r w:rsidR="00020875">
              <w:rPr>
                <w:rFonts w:asciiTheme="majorHAnsi" w:hAnsiTheme="majorHAnsi"/>
                <w:sz w:val="22"/>
                <w:szCs w:val="22"/>
              </w:rPr>
              <w:t>planning tool based on the Learning Cycle</w:t>
            </w:r>
            <w:r w:rsidRPr="00020875">
              <w:rPr>
                <w:rFonts w:asciiTheme="majorHAnsi" w:hAnsiTheme="majorHAnsi"/>
                <w:sz w:val="22"/>
                <w:szCs w:val="22"/>
              </w:rPr>
              <w:t xml:space="preserve"> </w:t>
            </w:r>
            <w:r w:rsidR="00020875">
              <w:rPr>
                <w:rFonts w:asciiTheme="majorHAnsi" w:hAnsiTheme="majorHAnsi"/>
                <w:sz w:val="22"/>
                <w:szCs w:val="22"/>
              </w:rPr>
              <w:t xml:space="preserve">and resources from the </w:t>
            </w:r>
            <w:hyperlink r:id="rId23" w:history="1">
              <w:r w:rsidRPr="00410AE5">
                <w:rPr>
                  <w:rStyle w:val="Hyperlink"/>
                  <w:rFonts w:asciiTheme="majorHAnsi" w:hAnsiTheme="majorHAnsi"/>
                  <w:sz w:val="22"/>
                  <w:szCs w:val="22"/>
                </w:rPr>
                <w:t>TEDD site</w:t>
              </w:r>
            </w:hyperlink>
          </w:p>
        </w:tc>
        <w:tc>
          <w:tcPr>
            <w:tcW w:w="3510" w:type="dxa"/>
          </w:tcPr>
          <w:p w14:paraId="5385A99E" w14:textId="1A126B59" w:rsidR="00CF537C" w:rsidRPr="00410AE5" w:rsidRDefault="005E5736" w:rsidP="005E5736">
            <w:pPr>
              <w:pStyle w:val="NoSpacing"/>
              <w:rPr>
                <w:rFonts w:asciiTheme="majorHAnsi" w:hAnsiTheme="majorHAnsi"/>
                <w:sz w:val="22"/>
                <w:szCs w:val="22"/>
              </w:rPr>
            </w:pPr>
            <w:r>
              <w:rPr>
                <w:rFonts w:asciiTheme="majorHAnsi" w:hAnsiTheme="majorHAnsi"/>
                <w:sz w:val="22"/>
                <w:szCs w:val="22"/>
              </w:rPr>
              <w:t>The planning tool can be utilized by teacher educators or curriculum teams to plan and revise clinically-rich teacher preparation.</w:t>
            </w:r>
            <w:r w:rsidR="00020875">
              <w:rPr>
                <w:rFonts w:asciiTheme="majorHAnsi" w:hAnsiTheme="majorHAnsi"/>
                <w:sz w:val="22"/>
                <w:szCs w:val="22"/>
              </w:rPr>
              <w:t xml:space="preserve"> </w:t>
            </w:r>
          </w:p>
        </w:tc>
      </w:tr>
    </w:tbl>
    <w:p w14:paraId="6C1B699E" w14:textId="132CC2C2" w:rsidR="00AB6D51" w:rsidRPr="00DB63AD" w:rsidRDefault="00AB6D51" w:rsidP="00CF537C">
      <w:pPr>
        <w:pStyle w:val="NoSpacing"/>
        <w:ind w:left="360"/>
        <w:rPr>
          <w:rFonts w:asciiTheme="majorHAnsi" w:hAnsiTheme="majorHAnsi"/>
        </w:rPr>
      </w:pPr>
    </w:p>
    <w:sectPr w:rsidR="00AB6D51" w:rsidRPr="00DB63AD" w:rsidSect="00410AE5">
      <w:headerReference w:type="even" r:id="rId24"/>
      <w:headerReference w:type="default" r:id="rId25"/>
      <w:footerReference w:type="even" r:id="rId26"/>
      <w:footerReference w:type="default" r:id="rId27"/>
      <w:pgSz w:w="12240" w:h="15840"/>
      <w:pgMar w:top="1728" w:right="1440" w:bottom="1440" w:left="1440" w:header="360" w:footer="643"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E54C99" w15:done="0"/>
  <w15:commentEx w15:paraId="44DD91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FE167" w14:textId="77777777" w:rsidR="004C5134" w:rsidRDefault="004C5134" w:rsidP="00BA77C1">
      <w:r>
        <w:separator/>
      </w:r>
    </w:p>
  </w:endnote>
  <w:endnote w:type="continuationSeparator" w:id="0">
    <w:p w14:paraId="689B1649" w14:textId="77777777" w:rsidR="004C5134" w:rsidRDefault="004C5134" w:rsidP="00BA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12727" w14:textId="77777777" w:rsidR="00020875" w:rsidRDefault="00020875" w:rsidP="004B5C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EF2F6" w14:textId="77777777" w:rsidR="00020875" w:rsidRDefault="004C5134" w:rsidP="004B5C9E">
    <w:pPr>
      <w:pStyle w:val="Footer"/>
      <w:ind w:right="360"/>
    </w:pPr>
    <w:sdt>
      <w:sdtPr>
        <w:id w:val="-1959786709"/>
        <w:temporary/>
        <w:showingPlcHdr/>
      </w:sdtPr>
      <w:sdtEndPr/>
      <w:sdtContent>
        <w:r w:rsidR="00020875">
          <w:t>[Type text]</w:t>
        </w:r>
      </w:sdtContent>
    </w:sdt>
    <w:r w:rsidR="00020875">
      <w:ptab w:relativeTo="margin" w:alignment="center" w:leader="none"/>
    </w:r>
    <w:sdt>
      <w:sdtPr>
        <w:id w:val="1453902873"/>
        <w:temporary/>
        <w:showingPlcHdr/>
      </w:sdtPr>
      <w:sdtEndPr/>
      <w:sdtContent>
        <w:r w:rsidR="00020875">
          <w:t>[Type text]</w:t>
        </w:r>
      </w:sdtContent>
    </w:sdt>
    <w:r w:rsidR="00020875">
      <w:ptab w:relativeTo="margin" w:alignment="right" w:leader="none"/>
    </w:r>
    <w:sdt>
      <w:sdtPr>
        <w:id w:val="842899877"/>
        <w:temporary/>
        <w:showingPlcHdr/>
      </w:sdtPr>
      <w:sdtEndPr/>
      <w:sdtContent>
        <w:r w:rsidR="00020875">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B6DB3" w14:textId="77777777" w:rsidR="00020875" w:rsidRPr="002D43B9" w:rsidRDefault="00020875" w:rsidP="002D43B9">
    <w:pPr>
      <w:pStyle w:val="Footer"/>
      <w:framePr w:wrap="around" w:vAnchor="text" w:hAnchor="margin" w:xAlign="right" w:y="1"/>
      <w:rPr>
        <w:rStyle w:val="PageNumber"/>
        <w:rFonts w:ascii="Calibri" w:hAnsi="Calibri"/>
        <w:sz w:val="20"/>
        <w:szCs w:val="20"/>
      </w:rPr>
    </w:pPr>
    <w:r w:rsidRPr="002D43B9">
      <w:rPr>
        <w:rStyle w:val="PageNumber"/>
        <w:rFonts w:ascii="Calibri" w:hAnsi="Calibri"/>
        <w:sz w:val="20"/>
        <w:szCs w:val="20"/>
      </w:rPr>
      <w:fldChar w:fldCharType="begin"/>
    </w:r>
    <w:r w:rsidRPr="002D43B9">
      <w:rPr>
        <w:rStyle w:val="PageNumber"/>
        <w:rFonts w:ascii="Calibri" w:hAnsi="Calibri"/>
        <w:sz w:val="20"/>
        <w:szCs w:val="20"/>
      </w:rPr>
      <w:instrText xml:space="preserve">PAGE  </w:instrText>
    </w:r>
    <w:r w:rsidRPr="002D43B9">
      <w:rPr>
        <w:rStyle w:val="PageNumber"/>
        <w:rFonts w:ascii="Calibri" w:hAnsi="Calibri"/>
        <w:sz w:val="20"/>
        <w:szCs w:val="20"/>
      </w:rPr>
      <w:fldChar w:fldCharType="separate"/>
    </w:r>
    <w:r w:rsidR="001501EA">
      <w:rPr>
        <w:rStyle w:val="PageNumber"/>
        <w:rFonts w:ascii="Calibri" w:hAnsi="Calibri"/>
        <w:noProof/>
        <w:sz w:val="20"/>
        <w:szCs w:val="20"/>
      </w:rPr>
      <w:t>1</w:t>
    </w:r>
    <w:r w:rsidRPr="002D43B9">
      <w:rPr>
        <w:rStyle w:val="PageNumber"/>
        <w:rFonts w:ascii="Calibri" w:hAnsi="Calibri"/>
        <w:sz w:val="20"/>
        <w:szCs w:val="20"/>
      </w:rPr>
      <w:fldChar w:fldCharType="end"/>
    </w:r>
  </w:p>
  <w:p w14:paraId="59715FB0" w14:textId="77777777" w:rsidR="00020875" w:rsidRDefault="00020875" w:rsidP="004B5C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81775" w14:textId="77777777" w:rsidR="004C5134" w:rsidRDefault="004C5134" w:rsidP="00BA77C1">
      <w:r>
        <w:separator/>
      </w:r>
    </w:p>
  </w:footnote>
  <w:footnote w:type="continuationSeparator" w:id="0">
    <w:p w14:paraId="7675F444" w14:textId="77777777" w:rsidR="004C5134" w:rsidRDefault="004C5134" w:rsidP="00BA7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C0752" w14:textId="5D3D5C3A" w:rsidR="00020875" w:rsidRDefault="004C5134">
    <w:pPr>
      <w:pStyle w:val="Header"/>
    </w:pPr>
    <w:sdt>
      <w:sdtPr>
        <w:id w:val="-475150727"/>
        <w:placeholder>
          <w:docPart w:val="A2FC52031C261045A727825C52CFD7CA"/>
        </w:placeholder>
        <w:temporary/>
        <w:showingPlcHdr/>
      </w:sdtPr>
      <w:sdtEndPr/>
      <w:sdtContent>
        <w:r w:rsidR="00020875">
          <w:t>[Type text]</w:t>
        </w:r>
      </w:sdtContent>
    </w:sdt>
    <w:r w:rsidR="00020875">
      <w:ptab w:relativeTo="margin" w:alignment="center" w:leader="none"/>
    </w:r>
    <w:sdt>
      <w:sdtPr>
        <w:id w:val="-2009968568"/>
        <w:placeholder>
          <w:docPart w:val="4590905C15EDD64EAAEF36E8A23186F4"/>
        </w:placeholder>
        <w:temporary/>
        <w:showingPlcHdr/>
      </w:sdtPr>
      <w:sdtEndPr/>
      <w:sdtContent>
        <w:r w:rsidR="00020875">
          <w:t>[Type text]</w:t>
        </w:r>
      </w:sdtContent>
    </w:sdt>
    <w:r w:rsidR="00020875">
      <w:ptab w:relativeTo="margin" w:alignment="right" w:leader="none"/>
    </w:r>
    <w:sdt>
      <w:sdtPr>
        <w:id w:val="954139757"/>
        <w:placeholder>
          <w:docPart w:val="653A51F3E46CC94AAAFC18240E3AA3D5"/>
        </w:placeholder>
        <w:temporary/>
        <w:showingPlcHdr/>
      </w:sdtPr>
      <w:sdtEndPr/>
      <w:sdtContent>
        <w:r w:rsidR="00020875">
          <w:t>[Type text]</w:t>
        </w:r>
      </w:sdtContent>
    </w:sdt>
  </w:p>
  <w:p w14:paraId="16418CEA" w14:textId="77777777" w:rsidR="00020875" w:rsidRDefault="000208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C637C" w14:textId="49019852" w:rsidR="00020875" w:rsidRPr="00BA77C1" w:rsidRDefault="00020875" w:rsidP="00BA77C1">
    <w:pPr>
      <w:pStyle w:val="Header"/>
      <w:jc w:val="center"/>
    </w:pPr>
    <w:r>
      <w:rPr>
        <w:noProof/>
      </w:rPr>
      <w:drawing>
        <wp:anchor distT="0" distB="0" distL="114300" distR="114300" simplePos="0" relativeHeight="251660288" behindDoc="1" locked="0" layoutInCell="1" allowOverlap="1" wp14:anchorId="77C91F93" wp14:editId="0D727041">
          <wp:simplePos x="0" y="0"/>
          <wp:positionH relativeFrom="column">
            <wp:posOffset>-1143000</wp:posOffset>
          </wp:positionH>
          <wp:positionV relativeFrom="paragraph">
            <wp:posOffset>0</wp:posOffset>
          </wp:positionV>
          <wp:extent cx="8001000" cy="8045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ACB"/>
    <w:multiLevelType w:val="hybridMultilevel"/>
    <w:tmpl w:val="0100B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D51BA1"/>
    <w:multiLevelType w:val="hybridMultilevel"/>
    <w:tmpl w:val="6CEE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E0794"/>
    <w:multiLevelType w:val="hybridMultilevel"/>
    <w:tmpl w:val="CFF0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43A2C"/>
    <w:multiLevelType w:val="hybridMultilevel"/>
    <w:tmpl w:val="C6B0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549B7"/>
    <w:multiLevelType w:val="hybridMultilevel"/>
    <w:tmpl w:val="11A40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BB00CE"/>
    <w:multiLevelType w:val="hybridMultilevel"/>
    <w:tmpl w:val="F5707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93624F"/>
    <w:multiLevelType w:val="hybridMultilevel"/>
    <w:tmpl w:val="94D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671DE5"/>
    <w:multiLevelType w:val="hybridMultilevel"/>
    <w:tmpl w:val="2006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04720"/>
    <w:multiLevelType w:val="hybridMultilevel"/>
    <w:tmpl w:val="36C0D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DC21F6"/>
    <w:multiLevelType w:val="hybridMultilevel"/>
    <w:tmpl w:val="44BA1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08C06A7"/>
    <w:multiLevelType w:val="hybridMultilevel"/>
    <w:tmpl w:val="C58C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027D69"/>
    <w:multiLevelType w:val="hybridMultilevel"/>
    <w:tmpl w:val="D27E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A47B8B"/>
    <w:multiLevelType w:val="hybridMultilevel"/>
    <w:tmpl w:val="9A5A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D61773"/>
    <w:multiLevelType w:val="hybridMultilevel"/>
    <w:tmpl w:val="0812E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793747"/>
    <w:multiLevelType w:val="hybridMultilevel"/>
    <w:tmpl w:val="F8068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8310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9E6262D"/>
    <w:multiLevelType w:val="hybridMultilevel"/>
    <w:tmpl w:val="7C00A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463F7"/>
    <w:multiLevelType w:val="hybridMultilevel"/>
    <w:tmpl w:val="99F0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77034"/>
    <w:multiLevelType w:val="hybridMultilevel"/>
    <w:tmpl w:val="A7029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622859"/>
    <w:multiLevelType w:val="hybridMultilevel"/>
    <w:tmpl w:val="87623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C61F8D"/>
    <w:multiLevelType w:val="hybridMultilevel"/>
    <w:tmpl w:val="12BE4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30B5C46"/>
    <w:multiLevelType w:val="hybridMultilevel"/>
    <w:tmpl w:val="6FB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8C3E2F"/>
    <w:multiLevelType w:val="hybridMultilevel"/>
    <w:tmpl w:val="9D6A8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3CB23C9"/>
    <w:multiLevelType w:val="hybridMultilevel"/>
    <w:tmpl w:val="3154B2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5E53E4"/>
    <w:multiLevelType w:val="hybridMultilevel"/>
    <w:tmpl w:val="52BE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9D7FCE"/>
    <w:multiLevelType w:val="hybridMultilevel"/>
    <w:tmpl w:val="C90E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290335"/>
    <w:multiLevelType w:val="hybridMultilevel"/>
    <w:tmpl w:val="6226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E94DA2"/>
    <w:multiLevelType w:val="hybridMultilevel"/>
    <w:tmpl w:val="28D27A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0A00F0"/>
    <w:multiLevelType w:val="hybridMultilevel"/>
    <w:tmpl w:val="5426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366F49"/>
    <w:multiLevelType w:val="hybridMultilevel"/>
    <w:tmpl w:val="24DE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DC4D61"/>
    <w:multiLevelType w:val="hybridMultilevel"/>
    <w:tmpl w:val="B288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F0486D"/>
    <w:multiLevelType w:val="hybridMultilevel"/>
    <w:tmpl w:val="33827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BC63DA9"/>
    <w:multiLevelType w:val="hybridMultilevel"/>
    <w:tmpl w:val="99E0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DD6D46"/>
    <w:multiLevelType w:val="hybridMultilevel"/>
    <w:tmpl w:val="C39E36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nsid w:val="50CE37CE"/>
    <w:multiLevelType w:val="hybridMultilevel"/>
    <w:tmpl w:val="3622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CD7934"/>
    <w:multiLevelType w:val="hybridMultilevel"/>
    <w:tmpl w:val="2D1E3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5305C25"/>
    <w:multiLevelType w:val="hybridMultilevel"/>
    <w:tmpl w:val="70E2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703A1E"/>
    <w:multiLevelType w:val="hybridMultilevel"/>
    <w:tmpl w:val="A10C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E057EF"/>
    <w:multiLevelType w:val="hybridMultilevel"/>
    <w:tmpl w:val="70004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EB056F"/>
    <w:multiLevelType w:val="hybridMultilevel"/>
    <w:tmpl w:val="1EB4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5D50DE"/>
    <w:multiLevelType w:val="hybridMultilevel"/>
    <w:tmpl w:val="2C78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BF0C4A"/>
    <w:multiLevelType w:val="hybridMultilevel"/>
    <w:tmpl w:val="58C8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8313E6"/>
    <w:multiLevelType w:val="hybridMultilevel"/>
    <w:tmpl w:val="3D02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0F5976"/>
    <w:multiLevelType w:val="multilevel"/>
    <w:tmpl w:val="BCFCB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4977EA"/>
    <w:multiLevelType w:val="hybridMultilevel"/>
    <w:tmpl w:val="2B1E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761D6C"/>
    <w:multiLevelType w:val="hybridMultilevel"/>
    <w:tmpl w:val="4AC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6"/>
  </w:num>
  <w:num w:numId="4">
    <w:abstractNumId w:val="1"/>
  </w:num>
  <w:num w:numId="5">
    <w:abstractNumId w:val="24"/>
  </w:num>
  <w:num w:numId="6">
    <w:abstractNumId w:val="43"/>
  </w:num>
  <w:num w:numId="7">
    <w:abstractNumId w:val="39"/>
  </w:num>
  <w:num w:numId="8">
    <w:abstractNumId w:val="7"/>
  </w:num>
  <w:num w:numId="9">
    <w:abstractNumId w:val="44"/>
  </w:num>
  <w:num w:numId="10">
    <w:abstractNumId w:val="34"/>
  </w:num>
  <w:num w:numId="11">
    <w:abstractNumId w:val="26"/>
  </w:num>
  <w:num w:numId="12">
    <w:abstractNumId w:val="40"/>
  </w:num>
  <w:num w:numId="13">
    <w:abstractNumId w:val="25"/>
  </w:num>
  <w:num w:numId="14">
    <w:abstractNumId w:val="29"/>
  </w:num>
  <w:num w:numId="15">
    <w:abstractNumId w:val="30"/>
  </w:num>
  <w:num w:numId="16">
    <w:abstractNumId w:val="3"/>
  </w:num>
  <w:num w:numId="17">
    <w:abstractNumId w:val="28"/>
  </w:num>
  <w:num w:numId="18">
    <w:abstractNumId w:val="37"/>
  </w:num>
  <w:num w:numId="19">
    <w:abstractNumId w:val="20"/>
  </w:num>
  <w:num w:numId="20">
    <w:abstractNumId w:val="5"/>
  </w:num>
  <w:num w:numId="21">
    <w:abstractNumId w:val="18"/>
  </w:num>
  <w:num w:numId="22">
    <w:abstractNumId w:val="32"/>
  </w:num>
  <w:num w:numId="23">
    <w:abstractNumId w:val="15"/>
  </w:num>
  <w:num w:numId="24">
    <w:abstractNumId w:val="45"/>
  </w:num>
  <w:num w:numId="25">
    <w:abstractNumId w:val="11"/>
  </w:num>
  <w:num w:numId="26">
    <w:abstractNumId w:val="19"/>
  </w:num>
  <w:num w:numId="27">
    <w:abstractNumId w:val="31"/>
  </w:num>
  <w:num w:numId="28">
    <w:abstractNumId w:val="9"/>
  </w:num>
  <w:num w:numId="29">
    <w:abstractNumId w:val="8"/>
  </w:num>
  <w:num w:numId="30">
    <w:abstractNumId w:val="35"/>
  </w:num>
  <w:num w:numId="31">
    <w:abstractNumId w:val="0"/>
  </w:num>
  <w:num w:numId="32">
    <w:abstractNumId w:val="14"/>
  </w:num>
  <w:num w:numId="33">
    <w:abstractNumId w:val="42"/>
  </w:num>
  <w:num w:numId="34">
    <w:abstractNumId w:val="23"/>
  </w:num>
  <w:num w:numId="35">
    <w:abstractNumId w:val="16"/>
  </w:num>
  <w:num w:numId="36">
    <w:abstractNumId w:val="38"/>
  </w:num>
  <w:num w:numId="37">
    <w:abstractNumId w:val="13"/>
  </w:num>
  <w:num w:numId="38">
    <w:abstractNumId w:val="4"/>
  </w:num>
  <w:num w:numId="39">
    <w:abstractNumId w:val="22"/>
  </w:num>
  <w:num w:numId="40">
    <w:abstractNumId w:val="17"/>
  </w:num>
  <w:num w:numId="41">
    <w:abstractNumId w:val="41"/>
  </w:num>
  <w:num w:numId="42">
    <w:abstractNumId w:val="27"/>
  </w:num>
  <w:num w:numId="43">
    <w:abstractNumId w:val="33"/>
  </w:num>
  <w:num w:numId="44">
    <w:abstractNumId w:val="2"/>
  </w:num>
  <w:num w:numId="45">
    <w:abstractNumId w:val="21"/>
  </w:num>
  <w:num w:numId="46">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AA"/>
    <w:rsid w:val="00001708"/>
    <w:rsid w:val="000022C3"/>
    <w:rsid w:val="00007EDA"/>
    <w:rsid w:val="00020875"/>
    <w:rsid w:val="000475AA"/>
    <w:rsid w:val="000476EE"/>
    <w:rsid w:val="0005239C"/>
    <w:rsid w:val="00054420"/>
    <w:rsid w:val="0007238E"/>
    <w:rsid w:val="00082B62"/>
    <w:rsid w:val="00090C79"/>
    <w:rsid w:val="00092882"/>
    <w:rsid w:val="00094C49"/>
    <w:rsid w:val="000A522F"/>
    <w:rsid w:val="000A53E3"/>
    <w:rsid w:val="000A55AA"/>
    <w:rsid w:val="000C38B5"/>
    <w:rsid w:val="000D0498"/>
    <w:rsid w:val="000E2544"/>
    <w:rsid w:val="000F2C75"/>
    <w:rsid w:val="00112CD7"/>
    <w:rsid w:val="00113EE5"/>
    <w:rsid w:val="001501EA"/>
    <w:rsid w:val="00155C0E"/>
    <w:rsid w:val="0017643B"/>
    <w:rsid w:val="00194728"/>
    <w:rsid w:val="001B187D"/>
    <w:rsid w:val="001D5B39"/>
    <w:rsid w:val="001E5877"/>
    <w:rsid w:val="001F7BD7"/>
    <w:rsid w:val="00200683"/>
    <w:rsid w:val="0020383E"/>
    <w:rsid w:val="00225BF8"/>
    <w:rsid w:val="002325A9"/>
    <w:rsid w:val="00265ADF"/>
    <w:rsid w:val="00274DA9"/>
    <w:rsid w:val="00282376"/>
    <w:rsid w:val="00284B17"/>
    <w:rsid w:val="0029482A"/>
    <w:rsid w:val="002A4E5F"/>
    <w:rsid w:val="002A518F"/>
    <w:rsid w:val="002C382E"/>
    <w:rsid w:val="002C721E"/>
    <w:rsid w:val="002D43B9"/>
    <w:rsid w:val="002E33D1"/>
    <w:rsid w:val="002F7062"/>
    <w:rsid w:val="00310962"/>
    <w:rsid w:val="00311920"/>
    <w:rsid w:val="00315096"/>
    <w:rsid w:val="0033429F"/>
    <w:rsid w:val="0033539A"/>
    <w:rsid w:val="00344AA3"/>
    <w:rsid w:val="0037105F"/>
    <w:rsid w:val="003907B2"/>
    <w:rsid w:val="003A27FF"/>
    <w:rsid w:val="003A5F23"/>
    <w:rsid w:val="003B707E"/>
    <w:rsid w:val="003C5844"/>
    <w:rsid w:val="003D3E9A"/>
    <w:rsid w:val="003F4CFD"/>
    <w:rsid w:val="00403F72"/>
    <w:rsid w:val="00410AE5"/>
    <w:rsid w:val="00410D6C"/>
    <w:rsid w:val="00423BA1"/>
    <w:rsid w:val="00436686"/>
    <w:rsid w:val="00445D84"/>
    <w:rsid w:val="0046324E"/>
    <w:rsid w:val="00467F02"/>
    <w:rsid w:val="0047672B"/>
    <w:rsid w:val="00477B20"/>
    <w:rsid w:val="00480B40"/>
    <w:rsid w:val="004862D9"/>
    <w:rsid w:val="00487D94"/>
    <w:rsid w:val="004941A4"/>
    <w:rsid w:val="00496567"/>
    <w:rsid w:val="004A1DEB"/>
    <w:rsid w:val="004A3CD5"/>
    <w:rsid w:val="004B5C9E"/>
    <w:rsid w:val="004C5134"/>
    <w:rsid w:val="004D3A97"/>
    <w:rsid w:val="004E0964"/>
    <w:rsid w:val="004E7107"/>
    <w:rsid w:val="004F5242"/>
    <w:rsid w:val="005065E6"/>
    <w:rsid w:val="005272AC"/>
    <w:rsid w:val="005341A6"/>
    <w:rsid w:val="00537F1F"/>
    <w:rsid w:val="00542C9B"/>
    <w:rsid w:val="005666AF"/>
    <w:rsid w:val="00581573"/>
    <w:rsid w:val="005B0408"/>
    <w:rsid w:val="005D2968"/>
    <w:rsid w:val="005D7624"/>
    <w:rsid w:val="005E5736"/>
    <w:rsid w:val="005F740E"/>
    <w:rsid w:val="00603FDE"/>
    <w:rsid w:val="006274BE"/>
    <w:rsid w:val="00643633"/>
    <w:rsid w:val="00647BDD"/>
    <w:rsid w:val="00655B06"/>
    <w:rsid w:val="006565B5"/>
    <w:rsid w:val="00656808"/>
    <w:rsid w:val="00663DCC"/>
    <w:rsid w:val="00667D38"/>
    <w:rsid w:val="006761F6"/>
    <w:rsid w:val="006801EA"/>
    <w:rsid w:val="00681E2C"/>
    <w:rsid w:val="006835C7"/>
    <w:rsid w:val="0068761B"/>
    <w:rsid w:val="006A010D"/>
    <w:rsid w:val="006B3D3C"/>
    <w:rsid w:val="006C758C"/>
    <w:rsid w:val="006D2CB9"/>
    <w:rsid w:val="006D6E85"/>
    <w:rsid w:val="006F7C24"/>
    <w:rsid w:val="00743E9A"/>
    <w:rsid w:val="007618FB"/>
    <w:rsid w:val="00764EA0"/>
    <w:rsid w:val="00766B57"/>
    <w:rsid w:val="00780327"/>
    <w:rsid w:val="007806A8"/>
    <w:rsid w:val="00790182"/>
    <w:rsid w:val="0079051D"/>
    <w:rsid w:val="0079238C"/>
    <w:rsid w:val="007A2DA9"/>
    <w:rsid w:val="007A5231"/>
    <w:rsid w:val="007B0067"/>
    <w:rsid w:val="007B05B5"/>
    <w:rsid w:val="007C12D8"/>
    <w:rsid w:val="007C310C"/>
    <w:rsid w:val="007C65B4"/>
    <w:rsid w:val="007D7BD6"/>
    <w:rsid w:val="007F1B7F"/>
    <w:rsid w:val="007F4417"/>
    <w:rsid w:val="007F5DA6"/>
    <w:rsid w:val="008015B0"/>
    <w:rsid w:val="00833D76"/>
    <w:rsid w:val="008418B7"/>
    <w:rsid w:val="00853672"/>
    <w:rsid w:val="00872A43"/>
    <w:rsid w:val="0088681C"/>
    <w:rsid w:val="00894307"/>
    <w:rsid w:val="008B293B"/>
    <w:rsid w:val="008B611B"/>
    <w:rsid w:val="008E1735"/>
    <w:rsid w:val="00901192"/>
    <w:rsid w:val="00936F22"/>
    <w:rsid w:val="009607DF"/>
    <w:rsid w:val="00973194"/>
    <w:rsid w:val="00982F52"/>
    <w:rsid w:val="0099155C"/>
    <w:rsid w:val="00991593"/>
    <w:rsid w:val="00994088"/>
    <w:rsid w:val="009D17A4"/>
    <w:rsid w:val="009D6EA8"/>
    <w:rsid w:val="009E1226"/>
    <w:rsid w:val="009E4145"/>
    <w:rsid w:val="009E4B33"/>
    <w:rsid w:val="009F683E"/>
    <w:rsid w:val="009F6849"/>
    <w:rsid w:val="00A16EB8"/>
    <w:rsid w:val="00A24AA1"/>
    <w:rsid w:val="00A42176"/>
    <w:rsid w:val="00A47969"/>
    <w:rsid w:val="00A52654"/>
    <w:rsid w:val="00A66B80"/>
    <w:rsid w:val="00A730BC"/>
    <w:rsid w:val="00A83011"/>
    <w:rsid w:val="00AB6D51"/>
    <w:rsid w:val="00AC0448"/>
    <w:rsid w:val="00AC64FE"/>
    <w:rsid w:val="00AC7D11"/>
    <w:rsid w:val="00AD045F"/>
    <w:rsid w:val="00AE084A"/>
    <w:rsid w:val="00B04654"/>
    <w:rsid w:val="00B071AD"/>
    <w:rsid w:val="00B10BAC"/>
    <w:rsid w:val="00B23D19"/>
    <w:rsid w:val="00B27653"/>
    <w:rsid w:val="00B31A2B"/>
    <w:rsid w:val="00B32C61"/>
    <w:rsid w:val="00B50858"/>
    <w:rsid w:val="00B74A1E"/>
    <w:rsid w:val="00B92BA0"/>
    <w:rsid w:val="00BA77C1"/>
    <w:rsid w:val="00BB7D11"/>
    <w:rsid w:val="00BC311C"/>
    <w:rsid w:val="00BC3A70"/>
    <w:rsid w:val="00BC3FFE"/>
    <w:rsid w:val="00BD0B6F"/>
    <w:rsid w:val="00BD651F"/>
    <w:rsid w:val="00BD7F49"/>
    <w:rsid w:val="00BE7D09"/>
    <w:rsid w:val="00BF1B78"/>
    <w:rsid w:val="00BF1BA5"/>
    <w:rsid w:val="00BF4DE0"/>
    <w:rsid w:val="00C01C72"/>
    <w:rsid w:val="00C05064"/>
    <w:rsid w:val="00C64B46"/>
    <w:rsid w:val="00C679EF"/>
    <w:rsid w:val="00C71FE3"/>
    <w:rsid w:val="00C85090"/>
    <w:rsid w:val="00CF537C"/>
    <w:rsid w:val="00CF7516"/>
    <w:rsid w:val="00D06169"/>
    <w:rsid w:val="00D17B78"/>
    <w:rsid w:val="00D430ED"/>
    <w:rsid w:val="00D64120"/>
    <w:rsid w:val="00D70A98"/>
    <w:rsid w:val="00D72895"/>
    <w:rsid w:val="00D83D0C"/>
    <w:rsid w:val="00D95C11"/>
    <w:rsid w:val="00DA344C"/>
    <w:rsid w:val="00DA499A"/>
    <w:rsid w:val="00DA64EB"/>
    <w:rsid w:val="00DB0425"/>
    <w:rsid w:val="00DB63AD"/>
    <w:rsid w:val="00DD149C"/>
    <w:rsid w:val="00DD69D7"/>
    <w:rsid w:val="00DE776F"/>
    <w:rsid w:val="00DF7F6C"/>
    <w:rsid w:val="00E04F31"/>
    <w:rsid w:val="00E147B4"/>
    <w:rsid w:val="00E213DC"/>
    <w:rsid w:val="00E24D72"/>
    <w:rsid w:val="00E42036"/>
    <w:rsid w:val="00E4433D"/>
    <w:rsid w:val="00E568D5"/>
    <w:rsid w:val="00E63126"/>
    <w:rsid w:val="00E72C43"/>
    <w:rsid w:val="00E978BC"/>
    <w:rsid w:val="00EA0A4F"/>
    <w:rsid w:val="00EA3170"/>
    <w:rsid w:val="00EC3925"/>
    <w:rsid w:val="00ED4C2D"/>
    <w:rsid w:val="00EE3F96"/>
    <w:rsid w:val="00EF4CEC"/>
    <w:rsid w:val="00F05095"/>
    <w:rsid w:val="00F1272F"/>
    <w:rsid w:val="00F1366D"/>
    <w:rsid w:val="00F16B7B"/>
    <w:rsid w:val="00F1724A"/>
    <w:rsid w:val="00F33377"/>
    <w:rsid w:val="00F37A78"/>
    <w:rsid w:val="00F464CD"/>
    <w:rsid w:val="00F54A60"/>
    <w:rsid w:val="00F67FC3"/>
    <w:rsid w:val="00F8173A"/>
    <w:rsid w:val="00F832B3"/>
    <w:rsid w:val="00FA4167"/>
    <w:rsid w:val="00FB6B21"/>
    <w:rsid w:val="00FC6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FBC5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0509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095"/>
    <w:rPr>
      <w:rFonts w:ascii="Times New Roman" w:hAnsi="Times New Roman"/>
    </w:rPr>
  </w:style>
  <w:style w:type="paragraph" w:styleId="BalloonText">
    <w:name w:val="Balloon Text"/>
    <w:basedOn w:val="Normal"/>
    <w:link w:val="BalloonTextChar"/>
    <w:uiPriority w:val="99"/>
    <w:semiHidden/>
    <w:unhideWhenUsed/>
    <w:rsid w:val="000475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75AA"/>
    <w:rPr>
      <w:rFonts w:ascii="Lucida Grande" w:hAnsi="Lucida Grande" w:cs="Lucida Grande"/>
      <w:sz w:val="18"/>
      <w:szCs w:val="18"/>
    </w:rPr>
  </w:style>
  <w:style w:type="paragraph" w:styleId="Header">
    <w:name w:val="header"/>
    <w:basedOn w:val="Normal"/>
    <w:link w:val="HeaderChar"/>
    <w:uiPriority w:val="99"/>
    <w:unhideWhenUsed/>
    <w:rsid w:val="00BA77C1"/>
    <w:pPr>
      <w:tabs>
        <w:tab w:val="center" w:pos="4320"/>
        <w:tab w:val="right" w:pos="8640"/>
      </w:tabs>
    </w:pPr>
  </w:style>
  <w:style w:type="character" w:customStyle="1" w:styleId="HeaderChar">
    <w:name w:val="Header Char"/>
    <w:basedOn w:val="DefaultParagraphFont"/>
    <w:link w:val="Header"/>
    <w:uiPriority w:val="99"/>
    <w:rsid w:val="00BA77C1"/>
    <w:rPr>
      <w:rFonts w:ascii="Times New Roman" w:hAnsi="Times New Roman"/>
    </w:rPr>
  </w:style>
  <w:style w:type="paragraph" w:styleId="Footer">
    <w:name w:val="footer"/>
    <w:basedOn w:val="Normal"/>
    <w:link w:val="FooterChar"/>
    <w:uiPriority w:val="99"/>
    <w:unhideWhenUsed/>
    <w:rsid w:val="00BA77C1"/>
    <w:pPr>
      <w:tabs>
        <w:tab w:val="center" w:pos="4320"/>
        <w:tab w:val="right" w:pos="8640"/>
      </w:tabs>
    </w:pPr>
  </w:style>
  <w:style w:type="character" w:customStyle="1" w:styleId="FooterChar">
    <w:name w:val="Footer Char"/>
    <w:basedOn w:val="DefaultParagraphFont"/>
    <w:link w:val="Footer"/>
    <w:uiPriority w:val="99"/>
    <w:rsid w:val="00BA77C1"/>
    <w:rPr>
      <w:rFonts w:ascii="Times New Roman" w:hAnsi="Times New Roman"/>
    </w:rPr>
  </w:style>
  <w:style w:type="paragraph" w:styleId="NormalWeb">
    <w:name w:val="Normal (Web)"/>
    <w:basedOn w:val="Normal"/>
    <w:uiPriority w:val="99"/>
    <w:unhideWhenUsed/>
    <w:rsid w:val="005666AF"/>
    <w:pPr>
      <w:spacing w:before="100" w:beforeAutospacing="1" w:after="100" w:afterAutospacing="1"/>
    </w:pPr>
    <w:rPr>
      <w:rFonts w:ascii="Times" w:eastAsia="MS Mincho" w:hAnsi="Times" w:cs="Times New Roman"/>
      <w:sz w:val="20"/>
      <w:szCs w:val="20"/>
    </w:rPr>
  </w:style>
  <w:style w:type="paragraph" w:styleId="ListParagraph">
    <w:name w:val="List Paragraph"/>
    <w:basedOn w:val="Normal"/>
    <w:uiPriority w:val="34"/>
    <w:qFormat/>
    <w:rsid w:val="00477B20"/>
    <w:pPr>
      <w:ind w:left="720"/>
      <w:contextualSpacing/>
    </w:pPr>
    <w:rPr>
      <w:rFonts w:ascii="Cambria" w:eastAsia="Cambria" w:hAnsi="Cambria" w:cs="Times New Roman"/>
    </w:rPr>
  </w:style>
  <w:style w:type="table" w:styleId="TableGrid">
    <w:name w:val="Table Grid"/>
    <w:basedOn w:val="TableNormal"/>
    <w:uiPriority w:val="59"/>
    <w:rsid w:val="00FB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6B57"/>
    <w:rPr>
      <w:sz w:val="18"/>
      <w:szCs w:val="18"/>
    </w:rPr>
  </w:style>
  <w:style w:type="paragraph" w:styleId="CommentText">
    <w:name w:val="annotation text"/>
    <w:basedOn w:val="Normal"/>
    <w:link w:val="CommentTextChar"/>
    <w:uiPriority w:val="99"/>
    <w:unhideWhenUsed/>
    <w:rsid w:val="00766B57"/>
  </w:style>
  <w:style w:type="character" w:customStyle="1" w:styleId="CommentTextChar">
    <w:name w:val="Comment Text Char"/>
    <w:basedOn w:val="DefaultParagraphFont"/>
    <w:link w:val="CommentText"/>
    <w:uiPriority w:val="99"/>
    <w:rsid w:val="00766B5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B57"/>
    <w:rPr>
      <w:b/>
      <w:bCs/>
      <w:sz w:val="20"/>
      <w:szCs w:val="20"/>
    </w:rPr>
  </w:style>
  <w:style w:type="character" w:customStyle="1" w:styleId="CommentSubjectChar">
    <w:name w:val="Comment Subject Char"/>
    <w:basedOn w:val="CommentTextChar"/>
    <w:link w:val="CommentSubject"/>
    <w:uiPriority w:val="99"/>
    <w:semiHidden/>
    <w:rsid w:val="00766B57"/>
    <w:rPr>
      <w:rFonts w:ascii="Times New Roman" w:hAnsi="Times New Roman"/>
      <w:b/>
      <w:bCs/>
      <w:sz w:val="20"/>
      <w:szCs w:val="20"/>
    </w:rPr>
  </w:style>
  <w:style w:type="paragraph" w:styleId="Revision">
    <w:name w:val="Revision"/>
    <w:hidden/>
    <w:uiPriority w:val="99"/>
    <w:semiHidden/>
    <w:rsid w:val="00766B57"/>
    <w:rPr>
      <w:rFonts w:ascii="Times New Roman" w:hAnsi="Times New Roman"/>
    </w:rPr>
  </w:style>
  <w:style w:type="character" w:styleId="Hyperlink">
    <w:name w:val="Hyperlink"/>
    <w:basedOn w:val="DefaultParagraphFont"/>
    <w:uiPriority w:val="99"/>
    <w:unhideWhenUsed/>
    <w:rsid w:val="008E1735"/>
    <w:rPr>
      <w:color w:val="0000FF" w:themeColor="hyperlink"/>
      <w:u w:val="single"/>
    </w:rPr>
  </w:style>
  <w:style w:type="paragraph" w:styleId="FootnoteText">
    <w:name w:val="footnote text"/>
    <w:basedOn w:val="Normal"/>
    <w:link w:val="FootnoteTextChar"/>
    <w:uiPriority w:val="99"/>
    <w:unhideWhenUsed/>
    <w:rsid w:val="008E1735"/>
    <w:rPr>
      <w:rFonts w:ascii="Helvetica" w:hAnsi="Helvetica" w:cs="Times New Roman"/>
    </w:rPr>
  </w:style>
  <w:style w:type="character" w:customStyle="1" w:styleId="FootnoteTextChar">
    <w:name w:val="Footnote Text Char"/>
    <w:basedOn w:val="DefaultParagraphFont"/>
    <w:link w:val="FootnoteText"/>
    <w:uiPriority w:val="99"/>
    <w:rsid w:val="008E1735"/>
    <w:rPr>
      <w:rFonts w:ascii="Helvetica" w:hAnsi="Helvetica" w:cs="Times New Roman"/>
    </w:rPr>
  </w:style>
  <w:style w:type="character" w:styleId="FootnoteReference">
    <w:name w:val="footnote reference"/>
    <w:basedOn w:val="DefaultParagraphFont"/>
    <w:uiPriority w:val="99"/>
    <w:unhideWhenUsed/>
    <w:rsid w:val="008E1735"/>
    <w:rPr>
      <w:vertAlign w:val="superscript"/>
    </w:rPr>
  </w:style>
  <w:style w:type="character" w:customStyle="1" w:styleId="apple-converted-space">
    <w:name w:val="apple-converted-space"/>
    <w:basedOn w:val="DefaultParagraphFont"/>
    <w:rsid w:val="004E0964"/>
  </w:style>
  <w:style w:type="character" w:styleId="PageNumber">
    <w:name w:val="page number"/>
    <w:basedOn w:val="DefaultParagraphFont"/>
    <w:uiPriority w:val="99"/>
    <w:semiHidden/>
    <w:unhideWhenUsed/>
    <w:rsid w:val="004B5C9E"/>
  </w:style>
  <w:style w:type="character" w:styleId="FollowedHyperlink">
    <w:name w:val="FollowedHyperlink"/>
    <w:basedOn w:val="DefaultParagraphFont"/>
    <w:uiPriority w:val="99"/>
    <w:semiHidden/>
    <w:unhideWhenUsed/>
    <w:rsid w:val="005D7624"/>
    <w:rPr>
      <w:color w:val="800080" w:themeColor="followedHyperlink"/>
      <w:u w:val="single"/>
    </w:rPr>
  </w:style>
  <w:style w:type="paragraph" w:customStyle="1" w:styleId="Normal1">
    <w:name w:val="Normal1"/>
    <w:rsid w:val="00F8173A"/>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0509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095"/>
    <w:rPr>
      <w:rFonts w:ascii="Times New Roman" w:hAnsi="Times New Roman"/>
    </w:rPr>
  </w:style>
  <w:style w:type="paragraph" w:styleId="BalloonText">
    <w:name w:val="Balloon Text"/>
    <w:basedOn w:val="Normal"/>
    <w:link w:val="BalloonTextChar"/>
    <w:uiPriority w:val="99"/>
    <w:semiHidden/>
    <w:unhideWhenUsed/>
    <w:rsid w:val="000475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75AA"/>
    <w:rPr>
      <w:rFonts w:ascii="Lucida Grande" w:hAnsi="Lucida Grande" w:cs="Lucida Grande"/>
      <w:sz w:val="18"/>
      <w:szCs w:val="18"/>
    </w:rPr>
  </w:style>
  <w:style w:type="paragraph" w:styleId="Header">
    <w:name w:val="header"/>
    <w:basedOn w:val="Normal"/>
    <w:link w:val="HeaderChar"/>
    <w:uiPriority w:val="99"/>
    <w:unhideWhenUsed/>
    <w:rsid w:val="00BA77C1"/>
    <w:pPr>
      <w:tabs>
        <w:tab w:val="center" w:pos="4320"/>
        <w:tab w:val="right" w:pos="8640"/>
      </w:tabs>
    </w:pPr>
  </w:style>
  <w:style w:type="character" w:customStyle="1" w:styleId="HeaderChar">
    <w:name w:val="Header Char"/>
    <w:basedOn w:val="DefaultParagraphFont"/>
    <w:link w:val="Header"/>
    <w:uiPriority w:val="99"/>
    <w:rsid w:val="00BA77C1"/>
    <w:rPr>
      <w:rFonts w:ascii="Times New Roman" w:hAnsi="Times New Roman"/>
    </w:rPr>
  </w:style>
  <w:style w:type="paragraph" w:styleId="Footer">
    <w:name w:val="footer"/>
    <w:basedOn w:val="Normal"/>
    <w:link w:val="FooterChar"/>
    <w:uiPriority w:val="99"/>
    <w:unhideWhenUsed/>
    <w:rsid w:val="00BA77C1"/>
    <w:pPr>
      <w:tabs>
        <w:tab w:val="center" w:pos="4320"/>
        <w:tab w:val="right" w:pos="8640"/>
      </w:tabs>
    </w:pPr>
  </w:style>
  <w:style w:type="character" w:customStyle="1" w:styleId="FooterChar">
    <w:name w:val="Footer Char"/>
    <w:basedOn w:val="DefaultParagraphFont"/>
    <w:link w:val="Footer"/>
    <w:uiPriority w:val="99"/>
    <w:rsid w:val="00BA77C1"/>
    <w:rPr>
      <w:rFonts w:ascii="Times New Roman" w:hAnsi="Times New Roman"/>
    </w:rPr>
  </w:style>
  <w:style w:type="paragraph" w:styleId="NormalWeb">
    <w:name w:val="Normal (Web)"/>
    <w:basedOn w:val="Normal"/>
    <w:uiPriority w:val="99"/>
    <w:unhideWhenUsed/>
    <w:rsid w:val="005666AF"/>
    <w:pPr>
      <w:spacing w:before="100" w:beforeAutospacing="1" w:after="100" w:afterAutospacing="1"/>
    </w:pPr>
    <w:rPr>
      <w:rFonts w:ascii="Times" w:eastAsia="MS Mincho" w:hAnsi="Times" w:cs="Times New Roman"/>
      <w:sz w:val="20"/>
      <w:szCs w:val="20"/>
    </w:rPr>
  </w:style>
  <w:style w:type="paragraph" w:styleId="ListParagraph">
    <w:name w:val="List Paragraph"/>
    <w:basedOn w:val="Normal"/>
    <w:uiPriority w:val="34"/>
    <w:qFormat/>
    <w:rsid w:val="00477B20"/>
    <w:pPr>
      <w:ind w:left="720"/>
      <w:contextualSpacing/>
    </w:pPr>
    <w:rPr>
      <w:rFonts w:ascii="Cambria" w:eastAsia="Cambria" w:hAnsi="Cambria" w:cs="Times New Roman"/>
    </w:rPr>
  </w:style>
  <w:style w:type="table" w:styleId="TableGrid">
    <w:name w:val="Table Grid"/>
    <w:basedOn w:val="TableNormal"/>
    <w:uiPriority w:val="59"/>
    <w:rsid w:val="00FB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6B57"/>
    <w:rPr>
      <w:sz w:val="18"/>
      <w:szCs w:val="18"/>
    </w:rPr>
  </w:style>
  <w:style w:type="paragraph" w:styleId="CommentText">
    <w:name w:val="annotation text"/>
    <w:basedOn w:val="Normal"/>
    <w:link w:val="CommentTextChar"/>
    <w:uiPriority w:val="99"/>
    <w:unhideWhenUsed/>
    <w:rsid w:val="00766B57"/>
  </w:style>
  <w:style w:type="character" w:customStyle="1" w:styleId="CommentTextChar">
    <w:name w:val="Comment Text Char"/>
    <w:basedOn w:val="DefaultParagraphFont"/>
    <w:link w:val="CommentText"/>
    <w:uiPriority w:val="99"/>
    <w:rsid w:val="00766B5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B57"/>
    <w:rPr>
      <w:b/>
      <w:bCs/>
      <w:sz w:val="20"/>
      <w:szCs w:val="20"/>
    </w:rPr>
  </w:style>
  <w:style w:type="character" w:customStyle="1" w:styleId="CommentSubjectChar">
    <w:name w:val="Comment Subject Char"/>
    <w:basedOn w:val="CommentTextChar"/>
    <w:link w:val="CommentSubject"/>
    <w:uiPriority w:val="99"/>
    <w:semiHidden/>
    <w:rsid w:val="00766B57"/>
    <w:rPr>
      <w:rFonts w:ascii="Times New Roman" w:hAnsi="Times New Roman"/>
      <w:b/>
      <w:bCs/>
      <w:sz w:val="20"/>
      <w:szCs w:val="20"/>
    </w:rPr>
  </w:style>
  <w:style w:type="paragraph" w:styleId="Revision">
    <w:name w:val="Revision"/>
    <w:hidden/>
    <w:uiPriority w:val="99"/>
    <w:semiHidden/>
    <w:rsid w:val="00766B57"/>
    <w:rPr>
      <w:rFonts w:ascii="Times New Roman" w:hAnsi="Times New Roman"/>
    </w:rPr>
  </w:style>
  <w:style w:type="character" w:styleId="Hyperlink">
    <w:name w:val="Hyperlink"/>
    <w:basedOn w:val="DefaultParagraphFont"/>
    <w:uiPriority w:val="99"/>
    <w:unhideWhenUsed/>
    <w:rsid w:val="008E1735"/>
    <w:rPr>
      <w:color w:val="0000FF" w:themeColor="hyperlink"/>
      <w:u w:val="single"/>
    </w:rPr>
  </w:style>
  <w:style w:type="paragraph" w:styleId="FootnoteText">
    <w:name w:val="footnote text"/>
    <w:basedOn w:val="Normal"/>
    <w:link w:val="FootnoteTextChar"/>
    <w:uiPriority w:val="99"/>
    <w:unhideWhenUsed/>
    <w:rsid w:val="008E1735"/>
    <w:rPr>
      <w:rFonts w:ascii="Helvetica" w:hAnsi="Helvetica" w:cs="Times New Roman"/>
    </w:rPr>
  </w:style>
  <w:style w:type="character" w:customStyle="1" w:styleId="FootnoteTextChar">
    <w:name w:val="Footnote Text Char"/>
    <w:basedOn w:val="DefaultParagraphFont"/>
    <w:link w:val="FootnoteText"/>
    <w:uiPriority w:val="99"/>
    <w:rsid w:val="008E1735"/>
    <w:rPr>
      <w:rFonts w:ascii="Helvetica" w:hAnsi="Helvetica" w:cs="Times New Roman"/>
    </w:rPr>
  </w:style>
  <w:style w:type="character" w:styleId="FootnoteReference">
    <w:name w:val="footnote reference"/>
    <w:basedOn w:val="DefaultParagraphFont"/>
    <w:uiPriority w:val="99"/>
    <w:unhideWhenUsed/>
    <w:rsid w:val="008E1735"/>
    <w:rPr>
      <w:vertAlign w:val="superscript"/>
    </w:rPr>
  </w:style>
  <w:style w:type="character" w:customStyle="1" w:styleId="apple-converted-space">
    <w:name w:val="apple-converted-space"/>
    <w:basedOn w:val="DefaultParagraphFont"/>
    <w:rsid w:val="004E0964"/>
  </w:style>
  <w:style w:type="character" w:styleId="PageNumber">
    <w:name w:val="page number"/>
    <w:basedOn w:val="DefaultParagraphFont"/>
    <w:uiPriority w:val="99"/>
    <w:semiHidden/>
    <w:unhideWhenUsed/>
    <w:rsid w:val="004B5C9E"/>
  </w:style>
  <w:style w:type="character" w:styleId="FollowedHyperlink">
    <w:name w:val="FollowedHyperlink"/>
    <w:basedOn w:val="DefaultParagraphFont"/>
    <w:uiPriority w:val="99"/>
    <w:semiHidden/>
    <w:unhideWhenUsed/>
    <w:rsid w:val="005D7624"/>
    <w:rPr>
      <w:color w:val="800080" w:themeColor="followedHyperlink"/>
      <w:u w:val="single"/>
    </w:rPr>
  </w:style>
  <w:style w:type="paragraph" w:customStyle="1" w:styleId="Normal1">
    <w:name w:val="Normal1"/>
    <w:rsid w:val="00F8173A"/>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83655">
      <w:bodyDiv w:val="1"/>
      <w:marLeft w:val="0"/>
      <w:marRight w:val="0"/>
      <w:marTop w:val="0"/>
      <w:marBottom w:val="0"/>
      <w:divBdr>
        <w:top w:val="none" w:sz="0" w:space="0" w:color="auto"/>
        <w:left w:val="none" w:sz="0" w:space="0" w:color="auto"/>
        <w:bottom w:val="none" w:sz="0" w:space="0" w:color="auto"/>
        <w:right w:val="none" w:sz="0" w:space="0" w:color="auto"/>
      </w:divBdr>
    </w:div>
    <w:div w:id="2012098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achingworks.org/work-of-teaching/high-leverage-practices" TargetMode="External"/><Relationship Id="rId18" Type="http://schemas.openxmlformats.org/officeDocument/2006/relationships/hyperlink" Target="https://www.dropbox.com/s/pc27ixzy8y2cann/TEDD_InteractiveCloseReadEnactmentProtocol%20%281%29.pdf?dl=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llustrativemathematics.org"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dropbox.com/s/a6pkbrf7x9rc6kl/Core%20Practices%20and%20Pedagogies%20ofTeacher%20Education.pdf?dl=0" TargetMode="External"/><Relationship Id="rId17" Type="http://schemas.openxmlformats.org/officeDocument/2006/relationships/hyperlink" Target="https://www.dropbox.com/s/he40gqetgkc57mo/linear%20and%20exponential%20growth.pdf?dl=0" TargetMode="External"/><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dropbox.com/s/h7ilw0smgphosqw/ELASIPATool_ProgramAnalysisCrosswalk_5_16%20%281%29.docx?dl=0" TargetMode="External"/><Relationship Id="rId20" Type="http://schemas.openxmlformats.org/officeDocument/2006/relationships/hyperlink" Target="http://www.insidemathematics.or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achingworks.org/images/files/TeachingWorks_Davis_Boerst_WorkingPapers_March_2014.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dropbox.com/s/fu7e5k5fu1qqnrl/MathSIPATool_ProgramAnalysisCrosswalk_5_2016.docx?dl=0" TargetMode="External"/><Relationship Id="rId23" Type="http://schemas.openxmlformats.org/officeDocument/2006/relationships/hyperlink" Target="http://tedd.org" TargetMode="External"/><Relationship Id="rId28" Type="http://schemas.openxmlformats.org/officeDocument/2006/relationships/fontTable" Target="fontTable.xml"/><Relationship Id="rId10" Type="http://schemas.openxmlformats.org/officeDocument/2006/relationships/hyperlink" Target="http://www.teachingworks.org/images/files/TeachingWorks_Davis_Boerst_WorkingPapers_March_2014.pdf" TargetMode="External"/><Relationship Id="rId19" Type="http://schemas.openxmlformats.org/officeDocument/2006/relationships/hyperlink" Target="http://map.mathshell.org" TargetMode="External"/><Relationship Id="rId4" Type="http://schemas.microsoft.com/office/2007/relationships/stylesWithEffects" Target="stylesWithEffects.xml"/><Relationship Id="rId9" Type="http://schemas.openxmlformats.org/officeDocument/2006/relationships/hyperlink" Target="https://www.dropbox.com/s/v8nopkl52lnf7jh/NCTR%20SIPA_ValueProp_9_2015.docx?dl=0" TargetMode="External"/><Relationship Id="rId14" Type="http://schemas.openxmlformats.org/officeDocument/2006/relationships/hyperlink" Target="http://www.teachingworks.org/work-of-teaching/high-leverage-practices" TargetMode="External"/><Relationship Id="rId22" Type="http://schemas.openxmlformats.org/officeDocument/2006/relationships/hyperlink" Target="http://www.teachingthecore.org"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FC52031C261045A727825C52CFD7CA"/>
        <w:category>
          <w:name w:val="General"/>
          <w:gallery w:val="placeholder"/>
        </w:category>
        <w:types>
          <w:type w:val="bbPlcHdr"/>
        </w:types>
        <w:behaviors>
          <w:behavior w:val="content"/>
        </w:behaviors>
        <w:guid w:val="{061B969B-7E88-C042-8C9F-25606D91E3E8}"/>
      </w:docPartPr>
      <w:docPartBody>
        <w:p w:rsidR="00A1609A" w:rsidRDefault="00A1609A" w:rsidP="00A1609A">
          <w:pPr>
            <w:pStyle w:val="A2FC52031C261045A727825C52CFD7CA"/>
          </w:pPr>
          <w:r>
            <w:t>[Type text]</w:t>
          </w:r>
        </w:p>
      </w:docPartBody>
    </w:docPart>
    <w:docPart>
      <w:docPartPr>
        <w:name w:val="4590905C15EDD64EAAEF36E8A23186F4"/>
        <w:category>
          <w:name w:val="General"/>
          <w:gallery w:val="placeholder"/>
        </w:category>
        <w:types>
          <w:type w:val="bbPlcHdr"/>
        </w:types>
        <w:behaviors>
          <w:behavior w:val="content"/>
        </w:behaviors>
        <w:guid w:val="{55F55968-5150-7B46-B44C-153983282640}"/>
      </w:docPartPr>
      <w:docPartBody>
        <w:p w:rsidR="00A1609A" w:rsidRDefault="00A1609A" w:rsidP="00A1609A">
          <w:pPr>
            <w:pStyle w:val="4590905C15EDD64EAAEF36E8A23186F4"/>
          </w:pPr>
          <w:r>
            <w:t>[Type text]</w:t>
          </w:r>
        </w:p>
      </w:docPartBody>
    </w:docPart>
    <w:docPart>
      <w:docPartPr>
        <w:name w:val="653A51F3E46CC94AAAFC18240E3AA3D5"/>
        <w:category>
          <w:name w:val="General"/>
          <w:gallery w:val="placeholder"/>
        </w:category>
        <w:types>
          <w:type w:val="bbPlcHdr"/>
        </w:types>
        <w:behaviors>
          <w:behavior w:val="content"/>
        </w:behaviors>
        <w:guid w:val="{8CF3A43C-D3BE-DF44-9E3B-8DC099F90060}"/>
      </w:docPartPr>
      <w:docPartBody>
        <w:p w:rsidR="00A1609A" w:rsidRDefault="00A1609A" w:rsidP="00A1609A">
          <w:pPr>
            <w:pStyle w:val="653A51F3E46CC94AAAFC18240E3AA3D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9A"/>
    <w:rsid w:val="00011BCA"/>
    <w:rsid w:val="000B06AC"/>
    <w:rsid w:val="001C594F"/>
    <w:rsid w:val="0022349F"/>
    <w:rsid w:val="00373AD8"/>
    <w:rsid w:val="003A048D"/>
    <w:rsid w:val="00792B65"/>
    <w:rsid w:val="0094536A"/>
    <w:rsid w:val="009B3B06"/>
    <w:rsid w:val="009F5955"/>
    <w:rsid w:val="00A1609A"/>
    <w:rsid w:val="00B01F97"/>
    <w:rsid w:val="00B20960"/>
    <w:rsid w:val="00B62CCD"/>
    <w:rsid w:val="00D97FE8"/>
    <w:rsid w:val="00E63E02"/>
    <w:rsid w:val="00F04150"/>
    <w:rsid w:val="00FE79F0"/>
    <w:rsid w:val="00FF1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FC52031C261045A727825C52CFD7CA">
    <w:name w:val="A2FC52031C261045A727825C52CFD7CA"/>
    <w:rsid w:val="00A1609A"/>
  </w:style>
  <w:style w:type="paragraph" w:customStyle="1" w:styleId="4590905C15EDD64EAAEF36E8A23186F4">
    <w:name w:val="4590905C15EDD64EAAEF36E8A23186F4"/>
    <w:rsid w:val="00A1609A"/>
  </w:style>
  <w:style w:type="paragraph" w:customStyle="1" w:styleId="653A51F3E46CC94AAAFC18240E3AA3D5">
    <w:name w:val="653A51F3E46CC94AAAFC18240E3AA3D5"/>
    <w:rsid w:val="00A1609A"/>
  </w:style>
  <w:style w:type="paragraph" w:customStyle="1" w:styleId="0528415ED12C8F4EB076332952D8FDF5">
    <w:name w:val="0528415ED12C8F4EB076332952D8FDF5"/>
    <w:rsid w:val="00A1609A"/>
  </w:style>
  <w:style w:type="paragraph" w:customStyle="1" w:styleId="45F10096F5194F469AA07CBEFED3FBFD">
    <w:name w:val="45F10096F5194F469AA07CBEFED3FBFD"/>
    <w:rsid w:val="00A1609A"/>
  </w:style>
  <w:style w:type="paragraph" w:customStyle="1" w:styleId="F546E2949A4C4B45AC08F44B70A2B99A">
    <w:name w:val="F546E2949A4C4B45AC08F44B70A2B99A"/>
    <w:rsid w:val="00A1609A"/>
  </w:style>
  <w:style w:type="paragraph" w:customStyle="1" w:styleId="D16BA529AFF2E944B7A94546E255B828">
    <w:name w:val="D16BA529AFF2E944B7A94546E255B828"/>
    <w:rsid w:val="00A1609A"/>
  </w:style>
  <w:style w:type="paragraph" w:customStyle="1" w:styleId="D2A9317763D3B8478D7C8291B5F7B23F">
    <w:name w:val="D2A9317763D3B8478D7C8291B5F7B23F"/>
    <w:rsid w:val="00A1609A"/>
  </w:style>
  <w:style w:type="paragraph" w:customStyle="1" w:styleId="AA88DB493CE9264C85CBC53DC2A58D32">
    <w:name w:val="AA88DB493CE9264C85CBC53DC2A58D32"/>
    <w:rsid w:val="00A1609A"/>
  </w:style>
  <w:style w:type="paragraph" w:customStyle="1" w:styleId="AB83262B0636F647ACBDC823B35374BF">
    <w:name w:val="AB83262B0636F647ACBDC823B35374BF"/>
    <w:rsid w:val="00A1609A"/>
  </w:style>
  <w:style w:type="paragraph" w:customStyle="1" w:styleId="6FA25B4F0CCF2F448F9DE14601FA9AF6">
    <w:name w:val="6FA25B4F0CCF2F448F9DE14601FA9AF6"/>
    <w:rsid w:val="00A1609A"/>
  </w:style>
  <w:style w:type="paragraph" w:customStyle="1" w:styleId="881EC41CAB945040AF443EAE6875BA77">
    <w:name w:val="881EC41CAB945040AF443EAE6875BA77"/>
    <w:rsid w:val="00A160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FC52031C261045A727825C52CFD7CA">
    <w:name w:val="A2FC52031C261045A727825C52CFD7CA"/>
    <w:rsid w:val="00A1609A"/>
  </w:style>
  <w:style w:type="paragraph" w:customStyle="1" w:styleId="4590905C15EDD64EAAEF36E8A23186F4">
    <w:name w:val="4590905C15EDD64EAAEF36E8A23186F4"/>
    <w:rsid w:val="00A1609A"/>
  </w:style>
  <w:style w:type="paragraph" w:customStyle="1" w:styleId="653A51F3E46CC94AAAFC18240E3AA3D5">
    <w:name w:val="653A51F3E46CC94AAAFC18240E3AA3D5"/>
    <w:rsid w:val="00A1609A"/>
  </w:style>
  <w:style w:type="paragraph" w:customStyle="1" w:styleId="0528415ED12C8F4EB076332952D8FDF5">
    <w:name w:val="0528415ED12C8F4EB076332952D8FDF5"/>
    <w:rsid w:val="00A1609A"/>
  </w:style>
  <w:style w:type="paragraph" w:customStyle="1" w:styleId="45F10096F5194F469AA07CBEFED3FBFD">
    <w:name w:val="45F10096F5194F469AA07CBEFED3FBFD"/>
    <w:rsid w:val="00A1609A"/>
  </w:style>
  <w:style w:type="paragraph" w:customStyle="1" w:styleId="F546E2949A4C4B45AC08F44B70A2B99A">
    <w:name w:val="F546E2949A4C4B45AC08F44B70A2B99A"/>
    <w:rsid w:val="00A1609A"/>
  </w:style>
  <w:style w:type="paragraph" w:customStyle="1" w:styleId="D16BA529AFF2E944B7A94546E255B828">
    <w:name w:val="D16BA529AFF2E944B7A94546E255B828"/>
    <w:rsid w:val="00A1609A"/>
  </w:style>
  <w:style w:type="paragraph" w:customStyle="1" w:styleId="D2A9317763D3B8478D7C8291B5F7B23F">
    <w:name w:val="D2A9317763D3B8478D7C8291B5F7B23F"/>
    <w:rsid w:val="00A1609A"/>
  </w:style>
  <w:style w:type="paragraph" w:customStyle="1" w:styleId="AA88DB493CE9264C85CBC53DC2A58D32">
    <w:name w:val="AA88DB493CE9264C85CBC53DC2A58D32"/>
    <w:rsid w:val="00A1609A"/>
  </w:style>
  <w:style w:type="paragraph" w:customStyle="1" w:styleId="AB83262B0636F647ACBDC823B35374BF">
    <w:name w:val="AB83262B0636F647ACBDC823B35374BF"/>
    <w:rsid w:val="00A1609A"/>
  </w:style>
  <w:style w:type="paragraph" w:customStyle="1" w:styleId="6FA25B4F0CCF2F448F9DE14601FA9AF6">
    <w:name w:val="6FA25B4F0CCF2F448F9DE14601FA9AF6"/>
    <w:rsid w:val="00A1609A"/>
  </w:style>
  <w:style w:type="paragraph" w:customStyle="1" w:styleId="881EC41CAB945040AF443EAE6875BA77">
    <w:name w:val="881EC41CAB945040AF443EAE6875BA77"/>
    <w:rsid w:val="00A16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A693-CB5A-4BFF-AF1E-7F35F691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Golownia</dc:creator>
  <cp:lastModifiedBy>Chad Rubalcaba</cp:lastModifiedBy>
  <cp:revision>2</cp:revision>
  <cp:lastPrinted>2015-09-30T14:06:00Z</cp:lastPrinted>
  <dcterms:created xsi:type="dcterms:W3CDTF">2016-09-30T23:34:00Z</dcterms:created>
  <dcterms:modified xsi:type="dcterms:W3CDTF">2016-09-30T23:34:00Z</dcterms:modified>
</cp:coreProperties>
</file>